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8F" w:rsidRDefault="001F6D8F" w:rsidP="00805B13"/>
    <w:p w:rsidR="001A67C8" w:rsidRDefault="001A67C8" w:rsidP="00805B13"/>
    <w:p w:rsidR="0092281D" w:rsidRDefault="00DC4ED5" w:rsidP="00805B13">
      <w:r>
        <w:t>The Rt Hon Theresa Villiers</w:t>
      </w:r>
    </w:p>
    <w:p w:rsidR="00DC4ED5" w:rsidRDefault="00DC4ED5" w:rsidP="00805B13">
      <w:r>
        <w:t>Secretary of State for Environment, Food &amp; Rural Affairs</w:t>
      </w:r>
    </w:p>
    <w:p w:rsidR="00DC4ED5" w:rsidRDefault="00DC4ED5" w:rsidP="00DC4ED5">
      <w:r>
        <w:t>Seacole Building</w:t>
      </w:r>
    </w:p>
    <w:p w:rsidR="00DC4ED5" w:rsidRDefault="00DC4ED5" w:rsidP="00DC4ED5">
      <w:r>
        <w:t>2 Marsham Street</w:t>
      </w:r>
    </w:p>
    <w:p w:rsidR="00DC4ED5" w:rsidRDefault="00DC4ED5" w:rsidP="00DC4ED5">
      <w:r>
        <w:t>London SW1P 4DF</w:t>
      </w:r>
    </w:p>
    <w:p w:rsidR="0092281D" w:rsidRDefault="0092281D" w:rsidP="00805B13"/>
    <w:p w:rsidR="0092281D" w:rsidRDefault="003F1E1F" w:rsidP="00805B13">
      <w:r>
        <w:t>[date]</w:t>
      </w:r>
    </w:p>
    <w:p w:rsidR="0092281D" w:rsidRDefault="0092281D" w:rsidP="00805B13"/>
    <w:p w:rsidR="001A67C8" w:rsidRDefault="001A67C8" w:rsidP="00805B13">
      <w:r>
        <w:t>Dear Secretary of State,</w:t>
      </w:r>
    </w:p>
    <w:p w:rsidR="002F6A68" w:rsidRDefault="002F6A68" w:rsidP="00805B13"/>
    <w:p w:rsidR="00FF1AA5" w:rsidRPr="007702BB" w:rsidRDefault="002F6A68" w:rsidP="00805B13">
      <w:pPr>
        <w:rPr>
          <w:highlight w:val="yellow"/>
        </w:rPr>
      </w:pPr>
      <w:r>
        <w:t xml:space="preserve">We are writing to express our concern </w:t>
      </w:r>
      <w:r w:rsidR="006A5186">
        <w:t>at the proposed</w:t>
      </w:r>
      <w:r w:rsidR="00FF1AA5">
        <w:t xml:space="preserve"> </w:t>
      </w:r>
      <w:r>
        <w:t>prohibition on disclosure</w:t>
      </w:r>
      <w:r w:rsidR="00637254">
        <w:t xml:space="preserve"> of information</w:t>
      </w:r>
      <w:r>
        <w:t xml:space="preserve"> in the draft Environmental (Principles and </w:t>
      </w:r>
      <w:r w:rsidR="00342CE5">
        <w:t>Governance) Bi</w:t>
      </w:r>
      <w:r w:rsidR="004C5476">
        <w:t>ll, published in December 2018.</w:t>
      </w:r>
      <w:r w:rsidR="004C5476">
        <w:rPr>
          <w:rStyle w:val="FootnoteReference"/>
        </w:rPr>
        <w:footnoteReference w:id="1"/>
      </w:r>
    </w:p>
    <w:p w:rsidR="00CF44B5" w:rsidRDefault="00CF44B5" w:rsidP="00805B13"/>
    <w:p w:rsidR="00CF44B5" w:rsidRPr="00583D55" w:rsidRDefault="00CF44B5" w:rsidP="00805B13">
      <w:r>
        <w:t xml:space="preserve">The draft Bill is </w:t>
      </w:r>
      <w:r w:rsidR="00DC4ED5">
        <w:t xml:space="preserve">partly </w:t>
      </w:r>
      <w:r>
        <w:t>intended</w:t>
      </w:r>
      <w:r w:rsidR="006A2E4F">
        <w:t xml:space="preserve"> </w:t>
      </w:r>
      <w:r>
        <w:t>to replicate the scrutiny functions of the European Commission and European Environment Agency after Brexit.</w:t>
      </w:r>
      <w:r w:rsidR="006A2E4F">
        <w:t xml:space="preserve"> However, </w:t>
      </w:r>
      <w:r w:rsidR="007702BB">
        <w:t>some of the new arrangements would be su</w:t>
      </w:r>
      <w:r w:rsidR="00AA5536">
        <w:t xml:space="preserve">bject to </w:t>
      </w:r>
      <w:r w:rsidR="00583D55">
        <w:t>more severe restriction</w:t>
      </w:r>
      <w:r w:rsidR="00AA5536">
        <w:t>s</w:t>
      </w:r>
      <w:r w:rsidR="00583D55">
        <w:t xml:space="preserve"> on the public’s right to information </w:t>
      </w:r>
      <w:r w:rsidR="00DC4ED5" w:rsidRPr="00583D55">
        <w:t xml:space="preserve">than </w:t>
      </w:r>
      <w:r w:rsidR="00AA5536">
        <w:t>currently apply</w:t>
      </w:r>
      <w:r w:rsidR="00583D55" w:rsidRPr="00583D55">
        <w:t xml:space="preserve"> </w:t>
      </w:r>
      <w:r w:rsidR="00583D55">
        <w:t xml:space="preserve">under </w:t>
      </w:r>
      <w:r w:rsidR="00E30934">
        <w:t xml:space="preserve">both </w:t>
      </w:r>
      <w:r w:rsidR="00583D55">
        <w:t xml:space="preserve">UK and </w:t>
      </w:r>
      <w:r w:rsidR="006A2E4F" w:rsidRPr="00583D55">
        <w:t xml:space="preserve">EU </w:t>
      </w:r>
      <w:r w:rsidR="00AA5536">
        <w:t>law</w:t>
      </w:r>
      <w:r w:rsidR="006A2E4F" w:rsidRPr="00583D55">
        <w:t>.</w:t>
      </w:r>
      <w:r w:rsidR="009D3D77" w:rsidRPr="009D3D77">
        <w:rPr>
          <w:rStyle w:val="FootnoteReference"/>
        </w:rPr>
        <w:t xml:space="preserve"> </w:t>
      </w:r>
      <w:r w:rsidR="009D3D77">
        <w:rPr>
          <w:rStyle w:val="FootnoteReference"/>
        </w:rPr>
        <w:footnoteReference w:id="2"/>
      </w:r>
    </w:p>
    <w:p w:rsidR="00FF1AA5" w:rsidRDefault="00FF1AA5" w:rsidP="00805B13"/>
    <w:p w:rsidR="00FF1AA5" w:rsidRDefault="00FF1AA5" w:rsidP="00805B13">
      <w:r>
        <w:t xml:space="preserve">The bill </w:t>
      </w:r>
      <w:r w:rsidR="00583D55">
        <w:t>would</w:t>
      </w:r>
      <w:r w:rsidR="00C0075E">
        <w:t xml:space="preserve"> </w:t>
      </w:r>
      <w:r>
        <w:t xml:space="preserve">establish </w:t>
      </w:r>
      <w:r w:rsidR="00E30934">
        <w:t xml:space="preserve">the </w:t>
      </w:r>
      <w:r w:rsidR="00AA5536">
        <w:t>Office of Environmental Protection (OEP)</w:t>
      </w:r>
      <w:r w:rsidR="009F70B8">
        <w:t xml:space="preserve"> </w:t>
      </w:r>
      <w:r>
        <w:t xml:space="preserve">whose functions would include investigating complaints </w:t>
      </w:r>
      <w:r w:rsidR="00637254">
        <w:t>of</w:t>
      </w:r>
      <w:r>
        <w:t xml:space="preserve"> seriou</w:t>
      </w:r>
      <w:r w:rsidR="00637254">
        <w:t xml:space="preserve">s failure by public authorities </w:t>
      </w:r>
      <w:r>
        <w:t>to comply with environmental law.</w:t>
      </w:r>
      <w:r w:rsidR="00822AEE">
        <w:rPr>
          <w:rStyle w:val="FootnoteReference"/>
        </w:rPr>
        <w:footnoteReference w:id="3"/>
      </w:r>
    </w:p>
    <w:p w:rsidR="00FF1AA5" w:rsidRDefault="00FF1AA5" w:rsidP="007702BB">
      <w:pPr>
        <w:jc w:val="center"/>
      </w:pPr>
    </w:p>
    <w:p w:rsidR="00FF1AA5" w:rsidRDefault="00E1078F" w:rsidP="00805B13">
      <w:r>
        <w:t xml:space="preserve">The OEP would normally </w:t>
      </w:r>
      <w:r w:rsidR="00E30934">
        <w:t>have</w:t>
      </w:r>
      <w:r>
        <w:t xml:space="preserve"> to make public the fact that it is investigating a public authority or has </w:t>
      </w:r>
      <w:r w:rsidR="00AA5536">
        <w:t>concluded</w:t>
      </w:r>
      <w:r>
        <w:t xml:space="preserve"> that </w:t>
      </w:r>
      <w:r w:rsidR="00AA5536">
        <w:t>it</w:t>
      </w:r>
      <w:r w:rsidR="00E97EA8">
        <w:t xml:space="preserve"> has failed to comply with </w:t>
      </w:r>
      <w:r w:rsidR="00583D55">
        <w:t>environmental</w:t>
      </w:r>
      <w:r w:rsidR="00E97EA8">
        <w:t xml:space="preserve"> law.</w:t>
      </w:r>
      <w:r>
        <w:rPr>
          <w:rStyle w:val="FootnoteReference"/>
        </w:rPr>
        <w:footnoteReference w:id="4"/>
      </w:r>
      <w:r w:rsidR="00E97EA8">
        <w:t xml:space="preserve"> </w:t>
      </w:r>
      <w:r w:rsidR="00FF1AA5" w:rsidRPr="00AC084C">
        <w:t>However, t</w:t>
      </w:r>
      <w:r w:rsidR="00FF1AA5">
        <w:t xml:space="preserve">he disclosure of large classes of </w:t>
      </w:r>
      <w:r w:rsidR="00E97EA8">
        <w:t xml:space="preserve">related </w:t>
      </w:r>
      <w:r w:rsidR="00FF1AA5">
        <w:t xml:space="preserve">information would be </w:t>
      </w:r>
      <w:r w:rsidR="00583D55">
        <w:t>restricted</w:t>
      </w:r>
      <w:r w:rsidR="009D0CC0">
        <w:t>:</w:t>
      </w:r>
    </w:p>
    <w:p w:rsidR="009D0CC0" w:rsidRDefault="009D0CC0" w:rsidP="00805B13"/>
    <w:p w:rsidR="009D0CC0" w:rsidRDefault="009D0CC0" w:rsidP="009D0CC0">
      <w:pPr>
        <w:ind w:left="720" w:hanging="720"/>
      </w:pPr>
      <w:r>
        <w:t>•</w:t>
      </w:r>
      <w:r>
        <w:tab/>
        <w:t xml:space="preserve">The OEP would be prohibited from disclosing information </w:t>
      </w:r>
      <w:r w:rsidRPr="002256C6">
        <w:rPr>
          <w:b/>
        </w:rPr>
        <w:t xml:space="preserve">obtained from a public authority </w:t>
      </w:r>
      <w:r w:rsidR="00625B8C" w:rsidRPr="002256C6">
        <w:rPr>
          <w:b/>
        </w:rPr>
        <w:t>under investigation</w:t>
      </w:r>
      <w:r w:rsidR="00625B8C">
        <w:t xml:space="preserve"> </w:t>
      </w:r>
      <w:r>
        <w:t xml:space="preserve">unless the </w:t>
      </w:r>
      <w:r w:rsidRPr="00637254">
        <w:rPr>
          <w:b/>
        </w:rPr>
        <w:t>authority</w:t>
      </w:r>
      <w:r>
        <w:t xml:space="preserve"> consented</w:t>
      </w:r>
      <w:r w:rsidR="006B5B2A">
        <w:rPr>
          <w:rStyle w:val="FootnoteReference"/>
        </w:rPr>
        <w:footnoteReference w:id="5"/>
      </w:r>
    </w:p>
    <w:p w:rsidR="009D0CC0" w:rsidRDefault="009D0CC0" w:rsidP="009D0CC0">
      <w:pPr>
        <w:ind w:left="720" w:hanging="720"/>
      </w:pPr>
    </w:p>
    <w:p w:rsidR="00FF1AA5" w:rsidRDefault="009D0CC0" w:rsidP="009D0CC0">
      <w:pPr>
        <w:ind w:left="720" w:hanging="720"/>
      </w:pPr>
      <w:r>
        <w:t>•</w:t>
      </w:r>
      <w:r>
        <w:tab/>
        <w:t xml:space="preserve">The public authority being investigated would be prohibited from disclosing </w:t>
      </w:r>
      <w:r w:rsidRPr="002256C6">
        <w:rPr>
          <w:b/>
        </w:rPr>
        <w:t>correspondence or formal notices from the OEP</w:t>
      </w:r>
      <w:r>
        <w:t xml:space="preserve"> unless the </w:t>
      </w:r>
      <w:r w:rsidRPr="00637254">
        <w:rPr>
          <w:b/>
        </w:rPr>
        <w:t>OEP</w:t>
      </w:r>
      <w:r>
        <w:t xml:space="preserve"> consented</w:t>
      </w:r>
      <w:r w:rsidR="00774117">
        <w:rPr>
          <w:rStyle w:val="FootnoteReference"/>
        </w:rPr>
        <w:footnoteReference w:id="6"/>
      </w:r>
    </w:p>
    <w:p w:rsidR="009D0CC0" w:rsidRDefault="009D0CC0" w:rsidP="009D0CC0">
      <w:pPr>
        <w:ind w:left="720" w:hanging="720"/>
      </w:pPr>
    </w:p>
    <w:p w:rsidR="009D0CC0" w:rsidRDefault="00C0075E" w:rsidP="009D0CC0">
      <w:pPr>
        <w:ind w:left="720" w:hanging="720"/>
      </w:pPr>
      <w:r>
        <w:t>•</w:t>
      </w:r>
      <w:r>
        <w:tab/>
        <w:t xml:space="preserve">The OEP </w:t>
      </w:r>
      <w:r w:rsidR="009D0CC0">
        <w:t>would be required to copy its correspondence with a public authority to the relevant minister</w:t>
      </w:r>
      <w:r>
        <w:t xml:space="preserve"> but</w:t>
      </w:r>
      <w:r w:rsidR="009D0CC0">
        <w:t xml:space="preserve"> </w:t>
      </w:r>
      <w:r w:rsidR="009D0CC0" w:rsidRPr="002256C6">
        <w:rPr>
          <w:b/>
        </w:rPr>
        <w:t>could not disclose the minister’s reply</w:t>
      </w:r>
      <w:r w:rsidR="009D0CC0">
        <w:t xml:space="preserve"> without the </w:t>
      </w:r>
      <w:r w:rsidR="009D0CC0" w:rsidRPr="00637254">
        <w:rPr>
          <w:b/>
        </w:rPr>
        <w:t>minister’s</w:t>
      </w:r>
      <w:r w:rsidR="009D0CC0">
        <w:t xml:space="preserve"> consent.</w:t>
      </w:r>
      <w:r w:rsidR="00C83C5F">
        <w:rPr>
          <w:rStyle w:val="FootnoteReference"/>
        </w:rPr>
        <w:footnoteReference w:id="7"/>
      </w:r>
    </w:p>
    <w:p w:rsidR="00637254" w:rsidRDefault="00637254" w:rsidP="009D0CC0">
      <w:pPr>
        <w:ind w:left="720" w:hanging="720"/>
      </w:pPr>
    </w:p>
    <w:p w:rsidR="002256C6" w:rsidRPr="004C5476" w:rsidRDefault="00637254" w:rsidP="00637254">
      <w:r>
        <w:t xml:space="preserve">Although the OEP </w:t>
      </w:r>
      <w:r w:rsidR="009911BC">
        <w:t>would be free to</w:t>
      </w:r>
      <w:r>
        <w:t xml:space="preserve"> publish such information if it wanted to,</w:t>
      </w:r>
      <w:r>
        <w:rPr>
          <w:rStyle w:val="FootnoteReference"/>
        </w:rPr>
        <w:footnoteReference w:id="8"/>
      </w:r>
      <w:r>
        <w:t xml:space="preserve"> it could not be </w:t>
      </w:r>
      <w:r w:rsidRPr="00C0075E">
        <w:rPr>
          <w:b/>
        </w:rPr>
        <w:t>required</w:t>
      </w:r>
      <w:r w:rsidR="009911BC">
        <w:t xml:space="preserve"> to release it.</w:t>
      </w:r>
      <w:r>
        <w:t xml:space="preserve"> </w:t>
      </w:r>
      <w:r w:rsidR="00583D55">
        <w:t xml:space="preserve">The </w:t>
      </w:r>
      <w:r w:rsidR="009911BC">
        <w:t>restrictions</w:t>
      </w:r>
      <w:r w:rsidR="00583D55">
        <w:t xml:space="preserve"> would continue</w:t>
      </w:r>
      <w:r w:rsidR="00776AD9">
        <w:t xml:space="preserve"> </w:t>
      </w:r>
      <w:r w:rsidR="0083320C">
        <w:t>after</w:t>
      </w:r>
      <w:r w:rsidR="00DC4ED5">
        <w:t xml:space="preserve"> </w:t>
      </w:r>
      <w:r w:rsidR="00C76FED">
        <w:t>an</w:t>
      </w:r>
      <w:r w:rsidR="00DC4ED5">
        <w:t xml:space="preserve"> </w:t>
      </w:r>
      <w:r w:rsidR="00C0075E">
        <w:t xml:space="preserve">investigation </w:t>
      </w:r>
      <w:r w:rsidR="00DC4ED5">
        <w:t>was over and any</w:t>
      </w:r>
      <w:r>
        <w:t xml:space="preserve"> enforcement action </w:t>
      </w:r>
      <w:r w:rsidR="00C0075E">
        <w:t>concluded.</w:t>
      </w:r>
      <w:r>
        <w:t xml:space="preserve"> </w:t>
      </w:r>
      <w:r w:rsidR="009911BC">
        <w:t>The approach is</w:t>
      </w:r>
      <w:r w:rsidR="00AA5536">
        <w:t xml:space="preserve"> wholly at odds with the public’s </w:t>
      </w:r>
      <w:r w:rsidR="009911BC">
        <w:t>right to information</w:t>
      </w:r>
      <w:r w:rsidR="00E27031">
        <w:t xml:space="preserve"> </w:t>
      </w:r>
      <w:r w:rsidR="009911BC">
        <w:t xml:space="preserve">under </w:t>
      </w:r>
      <w:r w:rsidR="00AA5536">
        <w:t>the Environmental Information Regulations (EIR</w:t>
      </w:r>
      <w:r w:rsidR="004C5476">
        <w:t xml:space="preserve">). </w:t>
      </w:r>
    </w:p>
    <w:p w:rsidR="00637254" w:rsidRDefault="00637254" w:rsidP="00637254"/>
    <w:p w:rsidR="001A21AE" w:rsidRPr="001A21AE" w:rsidRDefault="00F51B3A" w:rsidP="00805B13">
      <w:pPr>
        <w:rPr>
          <w:i/>
        </w:rPr>
      </w:pPr>
      <w:r>
        <w:lastRenderedPageBreak/>
        <w:t xml:space="preserve">If the </w:t>
      </w:r>
      <w:r w:rsidR="00C0075E">
        <w:t>purpose</w:t>
      </w:r>
      <w:r>
        <w:t xml:space="preserve"> is to protect</w:t>
      </w:r>
      <w:r w:rsidR="00C0075E">
        <w:t xml:space="preserve"> the OEP’s ability to carry out </w:t>
      </w:r>
      <w:r>
        <w:t>investigations, the</w:t>
      </w:r>
      <w:r w:rsidR="002F6A68">
        <w:t xml:space="preserve"> prohibition </w:t>
      </w:r>
      <w:r>
        <w:t>is not</w:t>
      </w:r>
      <w:r w:rsidR="00C0075E">
        <w:t xml:space="preserve"> necessary. Regulation </w:t>
      </w:r>
      <w:r w:rsidR="00637254">
        <w:t xml:space="preserve">12(5)(b) </w:t>
      </w:r>
      <w:r w:rsidR="00C0075E">
        <w:t xml:space="preserve">of the </w:t>
      </w:r>
      <w:r w:rsidR="006474EC">
        <w:t>EIR</w:t>
      </w:r>
      <w:r w:rsidR="00C0075E">
        <w:t xml:space="preserve"> </w:t>
      </w:r>
      <w:r w:rsidR="00637254">
        <w:t>provides that ‘</w:t>
      </w:r>
      <w:r w:rsidR="00637254" w:rsidRPr="001A21AE">
        <w:rPr>
          <w:i/>
        </w:rPr>
        <w:t>a public authority</w:t>
      </w:r>
      <w:r w:rsidR="002F6A68">
        <w:t xml:space="preserve"> </w:t>
      </w:r>
      <w:r w:rsidR="001A21AE" w:rsidRPr="001A21AE">
        <w:rPr>
          <w:i/>
        </w:rPr>
        <w:t xml:space="preserve">may refuse to disclose information to the extent that its disclosure would adversely affect…the course of justice, the ability of a person to receive a fair trial or the </w:t>
      </w:r>
      <w:r w:rsidR="001A21AE" w:rsidRPr="002256C6">
        <w:rPr>
          <w:b/>
          <w:i/>
        </w:rPr>
        <w:t>ability of a public a</w:t>
      </w:r>
      <w:r w:rsidRPr="002256C6">
        <w:rPr>
          <w:b/>
          <w:i/>
        </w:rPr>
        <w:t>uthority to conduct an enquiry</w:t>
      </w:r>
      <w:r>
        <w:rPr>
          <w:i/>
        </w:rPr>
        <w:t xml:space="preserve"> o</w:t>
      </w:r>
      <w:r w:rsidR="001A21AE" w:rsidRPr="001A21AE">
        <w:rPr>
          <w:i/>
        </w:rPr>
        <w:t>f a criminal or disciplinary nature’.</w:t>
      </w:r>
      <w:r w:rsidR="002256C6">
        <w:rPr>
          <w:i/>
        </w:rPr>
        <w:t xml:space="preserve">  </w:t>
      </w:r>
    </w:p>
    <w:p w:rsidR="00230CFF" w:rsidRDefault="00230CFF" w:rsidP="00805B13"/>
    <w:p w:rsidR="001A21AE" w:rsidRDefault="00E30934" w:rsidP="00805B13">
      <w:r>
        <w:t>This</w:t>
      </w:r>
      <w:r w:rsidR="002F75A4">
        <w:t xml:space="preserve"> </w:t>
      </w:r>
      <w:r w:rsidR="009F70B8">
        <w:t>exception</w:t>
      </w:r>
      <w:r w:rsidR="00ED681A">
        <w:t xml:space="preserve"> is </w:t>
      </w:r>
      <w:r w:rsidR="002F75A4">
        <w:t>not absolute.  T</w:t>
      </w:r>
      <w:r w:rsidR="00776AD9">
        <w:t xml:space="preserve">he </w:t>
      </w:r>
      <w:r w:rsidR="00C0075E">
        <w:t>EIR require</w:t>
      </w:r>
      <w:r w:rsidR="0029329A">
        <w:t xml:space="preserve"> </w:t>
      </w:r>
      <w:r w:rsidR="00CF44B5">
        <w:t>that</w:t>
      </w:r>
      <w:r w:rsidR="0029329A">
        <w:t>: (</w:t>
      </w:r>
      <w:r w:rsidR="001A21AE">
        <w:t xml:space="preserve">a) </w:t>
      </w:r>
      <w:r w:rsidR="00A63FE3">
        <w:t>disclosure must be shown to have</w:t>
      </w:r>
      <w:r w:rsidR="009071A7">
        <w:t xml:space="preserve"> </w:t>
      </w:r>
      <w:r w:rsidR="001A21AE">
        <w:t xml:space="preserve">an </w:t>
      </w:r>
      <w:r w:rsidR="00B6662D" w:rsidRPr="003A3742">
        <w:rPr>
          <w:i/>
        </w:rPr>
        <w:t>‘</w:t>
      </w:r>
      <w:r w:rsidR="001A21AE" w:rsidRPr="003A3742">
        <w:rPr>
          <w:i/>
        </w:rPr>
        <w:t>adverse effect’</w:t>
      </w:r>
      <w:r w:rsidR="001A21AE">
        <w:t xml:space="preserve"> on </w:t>
      </w:r>
      <w:r w:rsidR="0029329A">
        <w:t xml:space="preserve">the </w:t>
      </w:r>
      <w:r w:rsidR="00A63FE3">
        <w:t>authority’s</w:t>
      </w:r>
      <w:r w:rsidR="0029329A">
        <w:t xml:space="preserve"> ability to conduct an enquiry</w:t>
      </w:r>
      <w:r w:rsidR="001A21AE">
        <w:t xml:space="preserve"> (b) the excep</w:t>
      </w:r>
      <w:r w:rsidR="00C72D5A">
        <w:t>tion must be interpreted in a ‘</w:t>
      </w:r>
      <w:r w:rsidR="00C72D5A" w:rsidRPr="003A3742">
        <w:rPr>
          <w:i/>
        </w:rPr>
        <w:t>restrictive way’</w:t>
      </w:r>
      <w:r w:rsidR="00C72D5A">
        <w:t>,</w:t>
      </w:r>
      <w:r w:rsidR="00EC4108">
        <w:rPr>
          <w:rStyle w:val="FootnoteReference"/>
        </w:rPr>
        <w:footnoteReference w:id="9"/>
      </w:r>
      <w:r w:rsidR="00C72D5A">
        <w:t xml:space="preserve"> (c) a </w:t>
      </w:r>
      <w:r w:rsidR="00C72D5A" w:rsidRPr="003A3742">
        <w:rPr>
          <w:i/>
        </w:rPr>
        <w:t>‘presumption in favour of disclosure must be applied’</w:t>
      </w:r>
      <w:r w:rsidR="00EC4108">
        <w:rPr>
          <w:rStyle w:val="FootnoteReference"/>
        </w:rPr>
        <w:footnoteReference w:id="10"/>
      </w:r>
      <w:r w:rsidR="009071A7">
        <w:t xml:space="preserve"> and (d) </w:t>
      </w:r>
      <w:r w:rsidR="00230CFF" w:rsidRPr="0083320C">
        <w:t xml:space="preserve">the public interest in </w:t>
      </w:r>
      <w:r w:rsidR="003A3742" w:rsidRPr="0083320C">
        <w:t>maintaining the exception</w:t>
      </w:r>
      <w:r w:rsidR="00230CFF" w:rsidRPr="0083320C">
        <w:t xml:space="preserve"> </w:t>
      </w:r>
      <w:r w:rsidR="0083320C" w:rsidRPr="0083320C">
        <w:t xml:space="preserve">must </w:t>
      </w:r>
      <w:r w:rsidR="00A63FE3" w:rsidRPr="0083320C">
        <w:t>outweigh</w:t>
      </w:r>
      <w:r w:rsidR="00230CFF" w:rsidRPr="003A3742">
        <w:rPr>
          <w:i/>
        </w:rPr>
        <w:t xml:space="preserve"> </w:t>
      </w:r>
      <w:r w:rsidR="0083320C">
        <w:rPr>
          <w:i/>
        </w:rPr>
        <w:t>‘</w:t>
      </w:r>
      <w:r w:rsidR="00230CFF" w:rsidRPr="003A3742">
        <w:rPr>
          <w:i/>
        </w:rPr>
        <w:t xml:space="preserve">the public interest in </w:t>
      </w:r>
      <w:r w:rsidR="003A3742" w:rsidRPr="003A3742">
        <w:rPr>
          <w:i/>
        </w:rPr>
        <w:t>disclosing the information’</w:t>
      </w:r>
      <w:r w:rsidR="00230CFF">
        <w:t>.</w:t>
      </w:r>
      <w:r w:rsidR="00EC4108">
        <w:rPr>
          <w:rStyle w:val="FootnoteReference"/>
        </w:rPr>
        <w:footnoteReference w:id="11"/>
      </w:r>
      <w:r w:rsidR="00230CFF">
        <w:t xml:space="preserve"> </w:t>
      </w:r>
    </w:p>
    <w:p w:rsidR="009071A7" w:rsidRDefault="009071A7" w:rsidP="00805B13"/>
    <w:p w:rsidR="009F70B8" w:rsidRDefault="009071A7" w:rsidP="00677370">
      <w:r>
        <w:t xml:space="preserve">None of these </w:t>
      </w:r>
      <w:r w:rsidR="003A3742">
        <w:t xml:space="preserve">important </w:t>
      </w:r>
      <w:r w:rsidR="00417702">
        <w:t>conditions</w:t>
      </w:r>
      <w:r>
        <w:t xml:space="preserve"> would apply under the draft Bill.</w:t>
      </w:r>
      <w:r w:rsidR="00230CFF">
        <w:t xml:space="preserve"> </w:t>
      </w:r>
      <w:r w:rsidR="00637254">
        <w:t>If the OE</w:t>
      </w:r>
      <w:r w:rsidR="006474EC">
        <w:t>P</w:t>
      </w:r>
      <w:r w:rsidR="009911BC">
        <w:t>, public authority or minister (</w:t>
      </w:r>
      <w:r w:rsidR="006474EC">
        <w:t>as the case may be</w:t>
      </w:r>
      <w:r w:rsidR="009911BC">
        <w:t>) did not wish</w:t>
      </w:r>
      <w:r w:rsidR="00CA2556">
        <w:t xml:space="preserve"> the information to be released, it woul</w:t>
      </w:r>
      <w:r w:rsidR="006A5238">
        <w:t xml:space="preserve">d be withheld. There would be no need to show that </w:t>
      </w:r>
      <w:r w:rsidR="00FD5A8C">
        <w:t xml:space="preserve">disclosure would </w:t>
      </w:r>
      <w:r w:rsidR="006A5238">
        <w:t>be harmful. The public interest in the information would be irrelevant</w:t>
      </w:r>
      <w:r w:rsidR="00FD5A8C">
        <w:t>.</w:t>
      </w:r>
      <w:r w:rsidR="00F463C9">
        <w:t xml:space="preserve">  This would reverse decades of progress in opening up environmental information.</w:t>
      </w:r>
      <w:r w:rsidR="00515BAF">
        <w:t xml:space="preserve">  </w:t>
      </w:r>
    </w:p>
    <w:p w:rsidR="009F70B8" w:rsidRDefault="009F70B8" w:rsidP="00677370"/>
    <w:p w:rsidR="00417702" w:rsidRPr="006902A8" w:rsidRDefault="00515BAF" w:rsidP="00677370">
      <w:r>
        <w:t xml:space="preserve">It </w:t>
      </w:r>
      <w:r w:rsidR="006A5238">
        <w:t>provision would</w:t>
      </w:r>
      <w:r>
        <w:t xml:space="preserve"> impose a </w:t>
      </w:r>
      <w:r w:rsidR="009D3D77">
        <w:t>degree</w:t>
      </w:r>
      <w:r>
        <w:t xml:space="preserve"> of secrecy </w:t>
      </w:r>
      <w:r w:rsidR="009F70B8">
        <w:t>which does not apply</w:t>
      </w:r>
      <w:r w:rsidR="00342CE5">
        <w:t xml:space="preserve"> to </w:t>
      </w:r>
      <w:r w:rsidR="009D3D77">
        <w:t xml:space="preserve">any </w:t>
      </w:r>
      <w:r>
        <w:t xml:space="preserve">other </w:t>
      </w:r>
      <w:r w:rsidR="00C76FED">
        <w:t xml:space="preserve">UK </w:t>
      </w:r>
      <w:r w:rsidR="00342CE5">
        <w:t xml:space="preserve">environmental </w:t>
      </w:r>
      <w:r w:rsidR="00E30934">
        <w:t xml:space="preserve">regulator. The restriction would be </w:t>
      </w:r>
      <w:r w:rsidR="00CA2556">
        <w:t xml:space="preserve">even </w:t>
      </w:r>
      <w:r w:rsidR="009F70B8">
        <w:t xml:space="preserve">more </w:t>
      </w:r>
      <w:r w:rsidR="0083320C">
        <w:t xml:space="preserve">onerous than </w:t>
      </w:r>
      <w:r w:rsidR="00E30934">
        <w:t>that</w:t>
      </w:r>
      <w:r w:rsidR="0083320C">
        <w:t xml:space="preserve"> </w:t>
      </w:r>
      <w:r w:rsidR="00E30934">
        <w:t>under Europe’s access regime.</w:t>
      </w:r>
      <w:r w:rsidR="0083320C">
        <w:t xml:space="preserve"> </w:t>
      </w:r>
      <w:r w:rsidR="00CA2556">
        <w:t>The right of access to European Commission documents</w:t>
      </w:r>
      <w:r w:rsidR="00E30934">
        <w:t xml:space="preserve"> </w:t>
      </w:r>
      <w:r w:rsidR="00E42A2F">
        <w:t>excepts</w:t>
      </w:r>
      <w:r w:rsidR="00E30934">
        <w:t xml:space="preserve"> information about investigations </w:t>
      </w:r>
      <w:r w:rsidR="00E30934">
        <w:rPr>
          <w:i/>
        </w:rPr>
        <w:t xml:space="preserve">unless </w:t>
      </w:r>
      <w:r w:rsidR="00E30934">
        <w:t xml:space="preserve">there is an overriding </w:t>
      </w:r>
      <w:r w:rsidR="006902A8">
        <w:t>public interest</w:t>
      </w:r>
      <w:r w:rsidR="001B5602">
        <w:t xml:space="preserve"> in disclos</w:t>
      </w:r>
      <w:r w:rsidR="00E30934">
        <w:t>ure</w:t>
      </w:r>
      <w:r w:rsidR="003820DB">
        <w:t>.</w:t>
      </w:r>
      <w:r w:rsidR="00E30934">
        <w:rPr>
          <w:rStyle w:val="FootnoteReference"/>
        </w:rPr>
        <w:footnoteReference w:id="12"/>
      </w:r>
      <w:r w:rsidR="001B5602">
        <w:t xml:space="preserve">  </w:t>
      </w:r>
      <w:r w:rsidR="003820DB">
        <w:t xml:space="preserve">Moreover, the </w:t>
      </w:r>
      <w:r w:rsidR="001B5602">
        <w:t xml:space="preserve">point of the </w:t>
      </w:r>
      <w:r w:rsidR="00CA2556">
        <w:t>restriction</w:t>
      </w:r>
      <w:r w:rsidR="003820DB">
        <w:t xml:space="preserve"> </w:t>
      </w:r>
      <w:r w:rsidR="00CA2556">
        <w:t>is</w:t>
      </w:r>
      <w:r w:rsidR="003820DB">
        <w:t xml:space="preserve"> to ensure that member states comply with their </w:t>
      </w:r>
      <w:r w:rsidR="0083320C">
        <w:t xml:space="preserve">European </w:t>
      </w:r>
      <w:r w:rsidR="00CA2556">
        <w:t xml:space="preserve">treaty obligations, </w:t>
      </w:r>
      <w:r w:rsidR="003820DB">
        <w:t>a consideration which will not apply to the UK after Brexit.</w:t>
      </w:r>
      <w:r w:rsidR="00A05D83" w:rsidRPr="00A05D83">
        <w:rPr>
          <w:rStyle w:val="FootnoteReference"/>
        </w:rPr>
        <w:t xml:space="preserve"> </w:t>
      </w:r>
    </w:p>
    <w:p w:rsidR="004C75A9" w:rsidRDefault="004C75A9" w:rsidP="00677370">
      <w:pPr>
        <w:rPr>
          <w:highlight w:val="yellow"/>
        </w:rPr>
      </w:pPr>
    </w:p>
    <w:p w:rsidR="004C75A9" w:rsidRPr="004C75A9" w:rsidRDefault="004C75A9" w:rsidP="00677370">
      <w:pPr>
        <w:rPr>
          <w:highlight w:val="yellow"/>
        </w:rPr>
      </w:pPr>
      <w:r w:rsidRPr="004C75A9">
        <w:t xml:space="preserve">The prohibition raises a wider concern. Regulation 5(6) of the EIR provides that the right of access to environmental information cannot be </w:t>
      </w:r>
      <w:r>
        <w:t>restricted by any other law.</w:t>
      </w:r>
      <w:r>
        <w:rPr>
          <w:rStyle w:val="FootnoteReference"/>
        </w:rPr>
        <w:footnoteReference w:id="13"/>
      </w:r>
      <w:r>
        <w:t xml:space="preserve"> </w:t>
      </w:r>
      <w:r w:rsidRPr="004C75A9">
        <w:t>The approach and effect of Regulation 5(6) should be continued in the Environment Bill and in any other future environmental legislation. However, as it stands, the draft Bill appears to be in conflict with this important legal provision, potentially over-riding it. This represents a fundamental undermining of the EIR and a backwards step in environmental protections. Regulation 5(6) of the EIR must continue to apply to all legislation post-Brexit.</w:t>
      </w:r>
    </w:p>
    <w:p w:rsidR="00E503EC" w:rsidRDefault="00E503EC" w:rsidP="00677370"/>
    <w:p w:rsidR="00D7050F" w:rsidRDefault="00E503EC" w:rsidP="00677370">
      <w:r>
        <w:t xml:space="preserve">Clause 28 of the </w:t>
      </w:r>
      <w:r w:rsidR="008278AC">
        <w:t xml:space="preserve">bill </w:t>
      </w:r>
      <w:r w:rsidR="003140AD">
        <w:t xml:space="preserve">envisages a damaging and unjustified </w:t>
      </w:r>
      <w:r>
        <w:t xml:space="preserve">restriction on the public’s </w:t>
      </w:r>
      <w:r w:rsidR="00B6662D">
        <w:t>right to environmental information</w:t>
      </w:r>
      <w:r w:rsidR="004C5476">
        <w:t xml:space="preserve">. </w:t>
      </w:r>
      <w:r w:rsidR="003140AD">
        <w:t>We</w:t>
      </w:r>
      <w:r w:rsidR="006A5186">
        <w:t xml:space="preserve"> call on the government to omit it from </w:t>
      </w:r>
      <w:r w:rsidR="009D3D77">
        <w:t>the</w:t>
      </w:r>
      <w:r w:rsidR="006A5186">
        <w:t xml:space="preserve"> proposals.</w:t>
      </w:r>
    </w:p>
    <w:p w:rsidR="002F6A68" w:rsidRDefault="002F6A68" w:rsidP="00805B13"/>
    <w:p w:rsidR="002F6A68" w:rsidRDefault="002F6A68" w:rsidP="00805B13"/>
    <w:p w:rsidR="00D41E75" w:rsidRDefault="00D41E75"/>
    <w:p w:rsidR="00D41E75" w:rsidRDefault="00D41E75"/>
    <w:p w:rsidR="00D41E75" w:rsidRDefault="00D41E75"/>
    <w:p w:rsidR="00D41E75" w:rsidRDefault="00D41E75"/>
    <w:p w:rsidR="00D41E75" w:rsidRPr="00D41E75" w:rsidRDefault="00D41E75"/>
    <w:sectPr w:rsidR="00D41E75" w:rsidRPr="00D41E75" w:rsidSect="0082050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16" w:rsidRDefault="00BE0116" w:rsidP="00EC4108">
      <w:r>
        <w:separator/>
      </w:r>
    </w:p>
  </w:endnote>
  <w:endnote w:type="continuationSeparator" w:id="0">
    <w:p w:rsidR="00BE0116" w:rsidRDefault="00BE0116" w:rsidP="00E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16" w:rsidRDefault="00BE0116" w:rsidP="00EC4108">
      <w:r>
        <w:separator/>
      </w:r>
    </w:p>
  </w:footnote>
  <w:footnote w:type="continuationSeparator" w:id="0">
    <w:p w:rsidR="00BE0116" w:rsidRDefault="00BE0116" w:rsidP="00EC4108">
      <w:r>
        <w:continuationSeparator/>
      </w:r>
    </w:p>
  </w:footnote>
  <w:footnote w:id="1">
    <w:p w:rsidR="004C5476" w:rsidRDefault="004C5476" w:rsidP="0020677B">
      <w:pPr>
        <w:pStyle w:val="FootnoteText"/>
        <w:jc w:val="left"/>
      </w:pPr>
      <w:r>
        <w:rPr>
          <w:rStyle w:val="FootnoteReference"/>
        </w:rPr>
        <w:footnoteRef/>
      </w:r>
      <w:r>
        <w:t xml:space="preserve"> </w:t>
      </w:r>
      <w:r w:rsidR="0020677B" w:rsidRPr="0020677B">
        <w:t>https://assets.publishing.service.gov.uk/government/uploads/system/uploads/attachment_data/file/766849/draft-environment-bill-governance-principles.pdf</w:t>
      </w:r>
    </w:p>
  </w:footnote>
  <w:footnote w:id="2">
    <w:p w:rsidR="009D3D77" w:rsidRDefault="009D3D77" w:rsidP="009D3D77">
      <w:pPr>
        <w:pStyle w:val="FootnoteText"/>
      </w:pPr>
      <w:r>
        <w:rPr>
          <w:rStyle w:val="FootnoteReference"/>
        </w:rPr>
        <w:footnoteRef/>
      </w:r>
      <w:r>
        <w:t xml:space="preserve"> See</w:t>
      </w:r>
      <w:r w:rsidR="003420C6">
        <w:t>:</w:t>
      </w:r>
      <w:r>
        <w:t xml:space="preserve"> </w:t>
      </w:r>
      <w:r w:rsidRPr="009D3D77">
        <w:t>www.cfoi.org.uk/wp-content/uploads/2019/05/submission-on-the-draft-environment-principles-and-governance-bill.pdf</w:t>
      </w:r>
    </w:p>
  </w:footnote>
  <w:footnote w:id="3">
    <w:p w:rsidR="00822AEE" w:rsidRPr="00822AEE" w:rsidRDefault="00822AEE">
      <w:pPr>
        <w:pStyle w:val="FootnoteText"/>
        <w:rPr>
          <w:rFonts w:eastAsia="Times" w:cs="Times New Roman"/>
          <w:szCs w:val="20"/>
          <w:lang w:val="en-GB" w:eastAsia="en-US"/>
        </w:rPr>
      </w:pPr>
      <w:r>
        <w:rPr>
          <w:rStyle w:val="FootnoteReference"/>
        </w:rPr>
        <w:footnoteRef/>
      </w:r>
      <w:r>
        <w:t xml:space="preserve"> </w:t>
      </w:r>
      <w:r w:rsidRPr="00822AEE">
        <w:rPr>
          <w:rFonts w:eastAsia="Times" w:cs="Times New Roman"/>
          <w:szCs w:val="20"/>
          <w:lang w:val="en-GB" w:eastAsia="en-US"/>
        </w:rPr>
        <w:t>D</w:t>
      </w:r>
      <w:r w:rsidRPr="00224853">
        <w:rPr>
          <w:lang w:val="en-GB" w:eastAsia="en-US"/>
        </w:rPr>
        <w:t>raf</w:t>
      </w:r>
      <w:r w:rsidRPr="00822AEE">
        <w:rPr>
          <w:rFonts w:eastAsia="Times" w:cs="Times New Roman"/>
          <w:szCs w:val="20"/>
          <w:lang w:val="en-GB" w:eastAsia="en-US"/>
        </w:rPr>
        <w:t>t Environment (Principles and Governance) Bill (hereafter ‘Draft Bill), clause 19(1)</w:t>
      </w:r>
    </w:p>
  </w:footnote>
  <w:footnote w:id="4">
    <w:p w:rsidR="00E1078F" w:rsidRDefault="00E1078F">
      <w:pPr>
        <w:pStyle w:val="FootnoteText"/>
      </w:pPr>
      <w:r>
        <w:rPr>
          <w:rStyle w:val="FootnoteReference"/>
        </w:rPr>
        <w:footnoteRef/>
      </w:r>
      <w:r>
        <w:t xml:space="preserve"> Draft Bill, clause 29(1)</w:t>
      </w:r>
    </w:p>
  </w:footnote>
  <w:footnote w:id="5">
    <w:p w:rsidR="006B5B2A" w:rsidRDefault="006B5B2A">
      <w:pPr>
        <w:pStyle w:val="FootnoteText"/>
      </w:pPr>
      <w:r>
        <w:rPr>
          <w:rStyle w:val="FootnoteReference"/>
        </w:rPr>
        <w:footnoteRef/>
      </w:r>
      <w:r>
        <w:t xml:space="preserve"> Draft Bill, clauses 28(1) and 28(2)(a)</w:t>
      </w:r>
    </w:p>
  </w:footnote>
  <w:footnote w:id="6">
    <w:p w:rsidR="00774117" w:rsidRDefault="00774117">
      <w:pPr>
        <w:pStyle w:val="FootnoteText"/>
      </w:pPr>
      <w:r>
        <w:rPr>
          <w:rStyle w:val="FootnoteReference"/>
        </w:rPr>
        <w:footnoteRef/>
      </w:r>
      <w:r>
        <w:t xml:space="preserve"> Draft Bill, clause</w:t>
      </w:r>
      <w:r w:rsidR="00963EED">
        <w:t>s</w:t>
      </w:r>
      <w:r>
        <w:t xml:space="preserve"> 28(3)</w:t>
      </w:r>
      <w:r w:rsidR="00963EED">
        <w:t xml:space="preserve"> and 28(4)(a)</w:t>
      </w:r>
    </w:p>
  </w:footnote>
  <w:footnote w:id="7">
    <w:p w:rsidR="00C83C5F" w:rsidRDefault="00C83C5F">
      <w:pPr>
        <w:pStyle w:val="FootnoteText"/>
      </w:pPr>
      <w:r>
        <w:rPr>
          <w:rStyle w:val="FootnoteReference"/>
        </w:rPr>
        <w:footnoteRef/>
      </w:r>
      <w:r>
        <w:t xml:space="preserve"> Draft Bill, clause</w:t>
      </w:r>
      <w:r w:rsidR="009702DF">
        <w:t xml:space="preserve">s 24(1), </w:t>
      </w:r>
      <w:r>
        <w:t xml:space="preserve"> 28(1)(b)</w:t>
      </w:r>
      <w:r w:rsidR="009702DF">
        <w:t xml:space="preserve"> and 28(2)(a)</w:t>
      </w:r>
    </w:p>
  </w:footnote>
  <w:footnote w:id="8">
    <w:p w:rsidR="00637254" w:rsidRDefault="00637254" w:rsidP="00637254">
      <w:pPr>
        <w:pStyle w:val="FootnoteText"/>
      </w:pPr>
      <w:r>
        <w:rPr>
          <w:rStyle w:val="FootnoteReference"/>
        </w:rPr>
        <w:footnoteRef/>
      </w:r>
      <w:r>
        <w:t xml:space="preserve"> </w:t>
      </w:r>
      <w:r w:rsidR="00224853">
        <w:t>Draft Bill, clause 19(</w:t>
      </w:r>
      <w:r w:rsidR="00DF6E81">
        <w:t>6</w:t>
      </w:r>
      <w:r w:rsidR="00224853">
        <w:t>)</w:t>
      </w:r>
    </w:p>
  </w:footnote>
  <w:footnote w:id="9">
    <w:p w:rsidR="00EC4108" w:rsidRPr="006902A8" w:rsidRDefault="00EC4108" w:rsidP="006902A8">
      <w:pPr>
        <w:pStyle w:val="FootnoteText"/>
        <w:rPr>
          <w:rFonts w:eastAsia="Times" w:cs="Times New Roman"/>
          <w:sz w:val="18"/>
          <w:szCs w:val="20"/>
          <w:lang w:val="en-GB" w:eastAsia="en-US"/>
        </w:rPr>
      </w:pPr>
      <w:r>
        <w:rPr>
          <w:rStyle w:val="FootnoteReference"/>
        </w:rPr>
        <w:footnoteRef/>
      </w:r>
      <w:r>
        <w:t xml:space="preserve"> </w:t>
      </w:r>
      <w:r w:rsidR="0092281D" w:rsidRPr="0092281D">
        <w:t xml:space="preserve">This requirement is found Article 4(2) of the Aarhus Convention on </w:t>
      </w:r>
      <w:r w:rsidR="0092281D" w:rsidRPr="0092281D">
        <w:rPr>
          <w:rFonts w:eastAsia="Times" w:cs="Times New Roman"/>
          <w:szCs w:val="20"/>
          <w:lang w:val="en-GB" w:eastAsia="en-US"/>
        </w:rPr>
        <w:t>Access To Information, Public Participation In Decision-Making And Access To Justice In Environmental Matters</w:t>
      </w:r>
      <w:r w:rsidR="0092281D" w:rsidRPr="0092281D">
        <w:t xml:space="preserve">, which will continue to apply to the UK after </w:t>
      </w:r>
      <w:proofErr w:type="spellStart"/>
      <w:r w:rsidR="0092281D" w:rsidRPr="0092281D">
        <w:t>Brexit</w:t>
      </w:r>
      <w:proofErr w:type="spellEnd"/>
      <w:r w:rsidR="0092281D" w:rsidRPr="0092281D">
        <w:t>,</w:t>
      </w:r>
    </w:p>
  </w:footnote>
  <w:footnote w:id="10">
    <w:p w:rsidR="00EC4108" w:rsidRDefault="00EC4108">
      <w:pPr>
        <w:pStyle w:val="FootnoteText"/>
      </w:pPr>
      <w:r>
        <w:rPr>
          <w:rStyle w:val="FootnoteReference"/>
        </w:rPr>
        <w:footnoteRef/>
      </w:r>
      <w:r>
        <w:t xml:space="preserve"> </w:t>
      </w:r>
      <w:r w:rsidR="0092281D">
        <w:t>EIR Regulation 12(2)</w:t>
      </w:r>
    </w:p>
  </w:footnote>
  <w:footnote w:id="11">
    <w:p w:rsidR="00EC4108" w:rsidRDefault="00EC4108">
      <w:pPr>
        <w:pStyle w:val="FootnoteText"/>
      </w:pPr>
      <w:r>
        <w:rPr>
          <w:rStyle w:val="FootnoteReference"/>
        </w:rPr>
        <w:footnoteRef/>
      </w:r>
      <w:r>
        <w:t xml:space="preserve"> </w:t>
      </w:r>
      <w:r w:rsidR="00871765">
        <w:t>EIR Regulation 12(1)(b)</w:t>
      </w:r>
    </w:p>
  </w:footnote>
  <w:footnote w:id="12">
    <w:p w:rsidR="00E30934" w:rsidRPr="003820DB" w:rsidRDefault="00E30934" w:rsidP="00E30934">
      <w:pPr>
        <w:pStyle w:val="FootnoteText"/>
      </w:pPr>
      <w:r>
        <w:rPr>
          <w:rStyle w:val="FootnoteReference"/>
        </w:rPr>
        <w:footnoteRef/>
      </w:r>
      <w:r>
        <w:t xml:space="preserve">  A public right of access to documents held by the European Commission, Council and Parliament exists under EC Regulation 1049/2001. </w:t>
      </w:r>
      <w:r w:rsidRPr="009E596B">
        <w:t xml:space="preserve">One of the exceptions is found in the third indent of Article 4(2) which states: </w:t>
      </w:r>
      <w:r w:rsidRPr="009E596B">
        <w:rPr>
          <w:i/>
        </w:rPr>
        <w:t>‘The institutions shall refuse access to a document where disclosure would undermine the protection of…the purpose of inspections, investigations and audits</w:t>
      </w:r>
      <w:r>
        <w:t>.  Although the General Court of the Court of Justice of the European Union has held that in relation to this exception a general presumption of confidentiality applies, the provision nevertheless allows access where ‘</w:t>
      </w:r>
      <w:r w:rsidRPr="00FD5A8C">
        <w:rPr>
          <w:i/>
        </w:rPr>
        <w:t>there is an overriding public interest in disclosure’</w:t>
      </w:r>
      <w:r>
        <w:t xml:space="preserve">. The Court of First Instance has held that for this exception to apply it must be </w:t>
      </w:r>
      <w:r w:rsidRPr="009E596B">
        <w:rPr>
          <w:i/>
        </w:rPr>
        <w:t>‘reasonably foreseeable</w:t>
      </w:r>
      <w:r>
        <w:rPr>
          <w:i/>
        </w:rPr>
        <w:t xml:space="preserve">’ </w:t>
      </w:r>
      <w:r>
        <w:rPr>
          <w:i/>
        </w:rPr>
        <w:softHyphen/>
      </w:r>
      <w:r>
        <w:rPr>
          <w:i/>
        </w:rPr>
        <w:softHyphen/>
      </w:r>
      <w:r>
        <w:t>that the protected interest would be undermined.  Moreover, the protected interest ‘</w:t>
      </w:r>
      <w:r w:rsidRPr="009E596B">
        <w:rPr>
          <w:i/>
        </w:rPr>
        <w:t>is not to protect the investigations as such, but…to induce the Member State concerned to comply with Community law’</w:t>
      </w:r>
      <w:r w:rsidRPr="00850C70">
        <w:rPr>
          <w:i/>
        </w:rPr>
        <w:t xml:space="preserve">. </w:t>
      </w:r>
      <w:r w:rsidRPr="00850C70">
        <w:t xml:space="preserve">Case T-36/04, </w:t>
      </w:r>
      <w:r>
        <w:t xml:space="preserve">Association de la </w:t>
      </w:r>
      <w:proofErr w:type="spellStart"/>
      <w:r>
        <w:t>presse</w:t>
      </w:r>
      <w:proofErr w:type="spellEnd"/>
      <w:r>
        <w:t xml:space="preserve"> international ASBL (API) v Commission of the European Communities.</w:t>
      </w:r>
    </w:p>
  </w:footnote>
  <w:footnote w:id="13">
    <w:p w:rsidR="004C75A9" w:rsidRDefault="004C75A9">
      <w:pPr>
        <w:pStyle w:val="FootnoteText"/>
      </w:pPr>
      <w:r>
        <w:rPr>
          <w:rStyle w:val="FootnoteReference"/>
        </w:rPr>
        <w:footnoteRef/>
      </w:r>
      <w:r>
        <w:t xml:space="preserve"> </w:t>
      </w:r>
      <w:r w:rsidRPr="004C75A9">
        <w:t>Regulation 5(6) states ‘Any enactment or rule of law that would prevent the disclosure of information in accordance with these Regulations shall not apply’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F5"/>
    <w:multiLevelType w:val="hybridMultilevel"/>
    <w:tmpl w:val="E5800E22"/>
    <w:lvl w:ilvl="0" w:tplc="F896C110">
      <w:start w:val="1"/>
      <w:numFmt w:val="bullet"/>
      <w:pStyle w:val="ListBulletred"/>
      <w:lvlText w:val=""/>
      <w:lvlJc w:val="left"/>
      <w:pPr>
        <w:tabs>
          <w:tab w:val="num" w:pos="360"/>
        </w:tabs>
        <w:ind w:left="357" w:hanging="357"/>
      </w:pPr>
      <w:rPr>
        <w:rFonts w:ascii="Webdings" w:hAnsi="Webdings" w:hint="default"/>
        <w:color w:val="8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BD5287"/>
    <w:multiLevelType w:val="hybridMultilevel"/>
    <w:tmpl w:val="1BD03DDE"/>
    <w:lvl w:ilvl="0" w:tplc="E5349846">
      <w:start w:val="1"/>
      <w:numFmt w:val="decimal"/>
      <w:pStyle w:val="-Numbered"/>
      <w:lvlText w:val="%1."/>
      <w:lvlJc w:val="left"/>
      <w:pPr>
        <w:ind w:left="64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68"/>
    <w:rsid w:val="00077C48"/>
    <w:rsid w:val="001024D9"/>
    <w:rsid w:val="00160AEA"/>
    <w:rsid w:val="001A21AE"/>
    <w:rsid w:val="001A67C8"/>
    <w:rsid w:val="001B5602"/>
    <w:rsid w:val="001F6D8F"/>
    <w:rsid w:val="0020677B"/>
    <w:rsid w:val="00224853"/>
    <w:rsid w:val="002256C6"/>
    <w:rsid w:val="00230CFF"/>
    <w:rsid w:val="0029124E"/>
    <w:rsid w:val="0029329A"/>
    <w:rsid w:val="00296864"/>
    <w:rsid w:val="002A5181"/>
    <w:rsid w:val="002D52D1"/>
    <w:rsid w:val="002F6A68"/>
    <w:rsid w:val="002F75A4"/>
    <w:rsid w:val="003140AD"/>
    <w:rsid w:val="003420C6"/>
    <w:rsid w:val="00342CE5"/>
    <w:rsid w:val="00377B4A"/>
    <w:rsid w:val="003820DB"/>
    <w:rsid w:val="003A3742"/>
    <w:rsid w:val="003F1E1F"/>
    <w:rsid w:val="00417702"/>
    <w:rsid w:val="00466214"/>
    <w:rsid w:val="004C5476"/>
    <w:rsid w:val="004C75A9"/>
    <w:rsid w:val="00515BAF"/>
    <w:rsid w:val="00583D55"/>
    <w:rsid w:val="0059293C"/>
    <w:rsid w:val="006138CC"/>
    <w:rsid w:val="00625B8C"/>
    <w:rsid w:val="00637254"/>
    <w:rsid w:val="006474EC"/>
    <w:rsid w:val="0065360D"/>
    <w:rsid w:val="00677370"/>
    <w:rsid w:val="006830F0"/>
    <w:rsid w:val="006902A8"/>
    <w:rsid w:val="006A2E4F"/>
    <w:rsid w:val="006A5186"/>
    <w:rsid w:val="006A5238"/>
    <w:rsid w:val="006B5B2A"/>
    <w:rsid w:val="007702BB"/>
    <w:rsid w:val="00774117"/>
    <w:rsid w:val="00776AD9"/>
    <w:rsid w:val="00805B13"/>
    <w:rsid w:val="00820503"/>
    <w:rsid w:val="00822AEE"/>
    <w:rsid w:val="008278AC"/>
    <w:rsid w:val="008320D7"/>
    <w:rsid w:val="0083320C"/>
    <w:rsid w:val="00850C70"/>
    <w:rsid w:val="00871765"/>
    <w:rsid w:val="008E0022"/>
    <w:rsid w:val="008E2C1B"/>
    <w:rsid w:val="008F1C7D"/>
    <w:rsid w:val="009071A7"/>
    <w:rsid w:val="0092281D"/>
    <w:rsid w:val="0094073A"/>
    <w:rsid w:val="00963EED"/>
    <w:rsid w:val="009702DF"/>
    <w:rsid w:val="009911BC"/>
    <w:rsid w:val="00994F47"/>
    <w:rsid w:val="009D0CC0"/>
    <w:rsid w:val="009D3D77"/>
    <w:rsid w:val="009E596B"/>
    <w:rsid w:val="009F70B8"/>
    <w:rsid w:val="00A05D83"/>
    <w:rsid w:val="00A153CE"/>
    <w:rsid w:val="00A4512D"/>
    <w:rsid w:val="00A63FE3"/>
    <w:rsid w:val="00A66F4D"/>
    <w:rsid w:val="00AA5536"/>
    <w:rsid w:val="00AB09C2"/>
    <w:rsid w:val="00AC084C"/>
    <w:rsid w:val="00B447C2"/>
    <w:rsid w:val="00B6662D"/>
    <w:rsid w:val="00BB1C06"/>
    <w:rsid w:val="00BE0116"/>
    <w:rsid w:val="00C0075E"/>
    <w:rsid w:val="00C63F64"/>
    <w:rsid w:val="00C67CB5"/>
    <w:rsid w:val="00C72D5A"/>
    <w:rsid w:val="00C76FED"/>
    <w:rsid w:val="00C774D7"/>
    <w:rsid w:val="00C83C5F"/>
    <w:rsid w:val="00CA2556"/>
    <w:rsid w:val="00CF44B5"/>
    <w:rsid w:val="00D173DB"/>
    <w:rsid w:val="00D41E75"/>
    <w:rsid w:val="00D7050F"/>
    <w:rsid w:val="00DC4ED5"/>
    <w:rsid w:val="00DF428E"/>
    <w:rsid w:val="00DF6E81"/>
    <w:rsid w:val="00E1078F"/>
    <w:rsid w:val="00E27031"/>
    <w:rsid w:val="00E30934"/>
    <w:rsid w:val="00E42A2F"/>
    <w:rsid w:val="00E503EC"/>
    <w:rsid w:val="00E97EA8"/>
    <w:rsid w:val="00EA172B"/>
    <w:rsid w:val="00EC1C66"/>
    <w:rsid w:val="00EC4108"/>
    <w:rsid w:val="00ED681A"/>
    <w:rsid w:val="00F138FF"/>
    <w:rsid w:val="00F463C9"/>
    <w:rsid w:val="00F51B3A"/>
    <w:rsid w:val="00F539D3"/>
    <w:rsid w:val="00F543F7"/>
    <w:rsid w:val="00F71068"/>
    <w:rsid w:val="00F82ECD"/>
    <w:rsid w:val="00FD5A8C"/>
    <w:rsid w:val="00FF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F9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64"/>
    <w:pPr>
      <w:jc w:val="both"/>
    </w:pPr>
    <w:rPr>
      <w:rFonts w:asciiTheme="majorHAnsi" w:eastAsia="Times" w:hAnsiTheme="majorHAnsi" w:cs="Times New Roman"/>
      <w:sz w:val="22"/>
      <w:szCs w:val="20"/>
      <w:lang w:val="en-GB" w:eastAsia="en-US"/>
    </w:rPr>
  </w:style>
  <w:style w:type="paragraph" w:styleId="Heading1">
    <w:name w:val="heading 1"/>
    <w:basedOn w:val="Normal"/>
    <w:next w:val="Normal"/>
    <w:link w:val="Heading1Char"/>
    <w:qFormat/>
    <w:rsid w:val="00EA172B"/>
    <w:pPr>
      <w:keepNext/>
      <w:tabs>
        <w:tab w:val="left" w:pos="0"/>
        <w:tab w:val="left" w:pos="7797"/>
      </w:tabs>
      <w:ind w:left="-70"/>
      <w:outlineLvl w:val="0"/>
    </w:pPr>
    <w:rPr>
      <w:rFonts w:asciiTheme="minorHAnsi" w:eastAsiaTheme="minorEastAsia" w:hAnsiTheme="minorHAnsi" w:cstheme="minorBidi"/>
      <w:i/>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 Heading"/>
    <w:basedOn w:val="Normal"/>
    <w:qFormat/>
    <w:rsid w:val="00EA172B"/>
    <w:pPr>
      <w:tabs>
        <w:tab w:val="left" w:pos="3936"/>
      </w:tabs>
      <w:spacing w:line="288" w:lineRule="auto"/>
    </w:pPr>
    <w:rPr>
      <w:rFonts w:asciiTheme="minorHAnsi" w:hAnsiTheme="minorHAnsi"/>
      <w:i/>
      <w:szCs w:val="24"/>
    </w:rPr>
  </w:style>
  <w:style w:type="paragraph" w:customStyle="1" w:styleId="Text">
    <w:name w:val="|| Text"/>
    <w:basedOn w:val="Normal"/>
    <w:qFormat/>
    <w:rsid w:val="00077C48"/>
    <w:pPr>
      <w:tabs>
        <w:tab w:val="left" w:pos="3936"/>
      </w:tabs>
      <w:spacing w:line="288" w:lineRule="auto"/>
    </w:pPr>
    <w:rPr>
      <w:rFonts w:ascii="Franklin Gothic Book" w:hAnsi="Franklin Gothic Book"/>
    </w:rPr>
  </w:style>
  <w:style w:type="paragraph" w:customStyle="1" w:styleId="ListBulletred0">
    <w:name w:val="|| List Bullet red"/>
    <w:basedOn w:val="Text"/>
    <w:autoRedefine/>
    <w:uiPriority w:val="99"/>
    <w:qFormat/>
    <w:rsid w:val="00F539D3"/>
    <w:rPr>
      <w:rFonts w:ascii="Times New Roman" w:eastAsia="ＭＳ 明朝" w:hAnsi="Times New Roman"/>
      <w:color w:val="000000"/>
      <w:kern w:val="24"/>
    </w:rPr>
  </w:style>
  <w:style w:type="paragraph" w:customStyle="1" w:styleId="Continuationofbullet">
    <w:name w:val="|| Continuation of bullet"/>
    <w:basedOn w:val="Normal"/>
    <w:uiPriority w:val="99"/>
    <w:rsid w:val="00160AEA"/>
    <w:pPr>
      <w:spacing w:line="288" w:lineRule="auto"/>
      <w:ind w:left="357"/>
    </w:pPr>
    <w:rPr>
      <w:rFonts w:ascii="Franklin Gothic Book" w:eastAsia="ＭＳ 明朝" w:hAnsi="Franklin Gothic Book"/>
      <w:color w:val="000000"/>
      <w:kern w:val="24"/>
    </w:rPr>
  </w:style>
  <w:style w:type="paragraph" w:customStyle="1" w:styleId="Style1">
    <w:name w:val="Style1"/>
    <w:basedOn w:val="ListBulletred0"/>
    <w:autoRedefine/>
    <w:qFormat/>
    <w:rsid w:val="00A153CE"/>
  </w:style>
  <w:style w:type="paragraph" w:styleId="ListParagraph">
    <w:name w:val="List Paragraph"/>
    <w:basedOn w:val="Normal"/>
    <w:autoRedefine/>
    <w:uiPriority w:val="34"/>
    <w:qFormat/>
    <w:rsid w:val="00F539D3"/>
    <w:pPr>
      <w:ind w:left="720"/>
      <w:contextualSpacing/>
    </w:pPr>
  </w:style>
  <w:style w:type="paragraph" w:customStyle="1" w:styleId="ListBulletred">
    <w:name w:val="List Bullet red"/>
    <w:basedOn w:val="Normal"/>
    <w:autoRedefine/>
    <w:qFormat/>
    <w:rsid w:val="00F539D3"/>
    <w:pPr>
      <w:numPr>
        <w:numId w:val="6"/>
      </w:numPr>
    </w:pPr>
    <w:rPr>
      <w:color w:val="000000"/>
      <w:kern w:val="24"/>
    </w:rPr>
  </w:style>
  <w:style w:type="paragraph" w:styleId="BalloonText">
    <w:name w:val="Balloon Text"/>
    <w:basedOn w:val="Normal"/>
    <w:link w:val="BalloonTextChar"/>
    <w:uiPriority w:val="99"/>
    <w:semiHidden/>
    <w:unhideWhenUsed/>
    <w:rsid w:val="008E2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C1B"/>
    <w:rPr>
      <w:rFonts w:ascii="Lucida Grande" w:eastAsia="Times" w:hAnsi="Lucida Grande" w:cs="Lucida Grande"/>
      <w:sz w:val="18"/>
      <w:szCs w:val="18"/>
      <w:lang w:val="en-GB"/>
    </w:rPr>
  </w:style>
  <w:style w:type="paragraph" w:customStyle="1" w:styleId="-Numbered">
    <w:name w:val="-&gt;Numbered"/>
    <w:basedOn w:val="Normal"/>
    <w:qFormat/>
    <w:rsid w:val="00A66F4D"/>
    <w:pPr>
      <w:numPr>
        <w:numId w:val="7"/>
      </w:numPr>
      <w:spacing w:after="360" w:line="360" w:lineRule="exact"/>
    </w:pPr>
    <w:rPr>
      <w:rFonts w:ascii="Times New Roman" w:hAnsi="Times New Roman"/>
    </w:rPr>
  </w:style>
  <w:style w:type="paragraph" w:customStyle="1" w:styleId="-Numberedindented">
    <w:name w:val="-&gt;Numbered indented"/>
    <w:basedOn w:val="-Numbered"/>
    <w:qFormat/>
    <w:rsid w:val="00A66F4D"/>
    <w:pPr>
      <w:numPr>
        <w:numId w:val="0"/>
      </w:numPr>
      <w:spacing w:after="320" w:line="320" w:lineRule="exact"/>
      <w:ind w:left="1330"/>
    </w:pPr>
    <w:rPr>
      <w:i/>
    </w:rPr>
  </w:style>
  <w:style w:type="paragraph" w:styleId="FootnoteText">
    <w:name w:val="footnote text"/>
    <w:basedOn w:val="Normal"/>
    <w:link w:val="FootnoteTextChar"/>
    <w:qFormat/>
    <w:rsid w:val="00224853"/>
    <w:rPr>
      <w:rFonts w:eastAsiaTheme="minorEastAsia" w:cstheme="minorBidi"/>
      <w:sz w:val="16"/>
      <w:szCs w:val="16"/>
      <w:lang w:val="en-US" w:eastAsia="ja-JP"/>
    </w:rPr>
  </w:style>
  <w:style w:type="character" w:customStyle="1" w:styleId="FootnoteTextChar">
    <w:name w:val="Footnote Text Char"/>
    <w:basedOn w:val="DefaultParagraphFont"/>
    <w:link w:val="FootnoteText"/>
    <w:rsid w:val="00224853"/>
    <w:rPr>
      <w:rFonts w:asciiTheme="majorHAnsi" w:hAnsiTheme="majorHAnsi"/>
      <w:sz w:val="16"/>
      <w:szCs w:val="16"/>
    </w:rPr>
  </w:style>
  <w:style w:type="character" w:customStyle="1" w:styleId="Heading1Char">
    <w:name w:val="Heading 1 Char"/>
    <w:basedOn w:val="DefaultParagraphFont"/>
    <w:link w:val="Heading1"/>
    <w:rsid w:val="00EA172B"/>
    <w:rPr>
      <w:i/>
      <w:sz w:val="22"/>
    </w:rPr>
  </w:style>
  <w:style w:type="paragraph" w:customStyle="1" w:styleId="Quoteindent">
    <w:name w:val="Quote indent"/>
    <w:basedOn w:val="Normal"/>
    <w:qFormat/>
    <w:rsid w:val="008320D7"/>
    <w:pPr>
      <w:ind w:left="993"/>
    </w:pPr>
    <w:rPr>
      <w:rFonts w:asciiTheme="minorHAnsi" w:hAnsiTheme="minorHAnsi"/>
      <w:color w:val="000000" w:themeColor="text1"/>
    </w:rPr>
  </w:style>
  <w:style w:type="paragraph" w:customStyle="1" w:styleId="-Heading">
    <w:name w:val="-&gt; Heading"/>
    <w:qFormat/>
    <w:rsid w:val="008E0022"/>
    <w:pPr>
      <w:ind w:left="378"/>
    </w:pPr>
    <w:rPr>
      <w:rFonts w:ascii="Times New Roman" w:eastAsia="Times" w:hAnsi="Times New Roman" w:cs="Times New Roman"/>
      <w:b/>
      <w:sz w:val="22"/>
      <w:szCs w:val="22"/>
      <w:lang w:val="en-GB" w:eastAsia="en-US"/>
    </w:rPr>
  </w:style>
  <w:style w:type="character" w:styleId="FootnoteReference">
    <w:name w:val="footnote reference"/>
    <w:basedOn w:val="DefaultParagraphFont"/>
    <w:uiPriority w:val="99"/>
    <w:unhideWhenUsed/>
    <w:rsid w:val="00EC410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64"/>
    <w:pPr>
      <w:jc w:val="both"/>
    </w:pPr>
    <w:rPr>
      <w:rFonts w:asciiTheme="majorHAnsi" w:eastAsia="Times" w:hAnsiTheme="majorHAnsi" w:cs="Times New Roman"/>
      <w:sz w:val="22"/>
      <w:szCs w:val="20"/>
      <w:lang w:val="en-GB" w:eastAsia="en-US"/>
    </w:rPr>
  </w:style>
  <w:style w:type="paragraph" w:styleId="Heading1">
    <w:name w:val="heading 1"/>
    <w:basedOn w:val="Normal"/>
    <w:next w:val="Normal"/>
    <w:link w:val="Heading1Char"/>
    <w:qFormat/>
    <w:rsid w:val="00EA172B"/>
    <w:pPr>
      <w:keepNext/>
      <w:tabs>
        <w:tab w:val="left" w:pos="0"/>
        <w:tab w:val="left" w:pos="7797"/>
      </w:tabs>
      <w:ind w:left="-70"/>
      <w:outlineLvl w:val="0"/>
    </w:pPr>
    <w:rPr>
      <w:rFonts w:asciiTheme="minorHAnsi" w:eastAsiaTheme="minorEastAsia" w:hAnsiTheme="minorHAnsi" w:cstheme="minorBidi"/>
      <w:i/>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 Heading"/>
    <w:basedOn w:val="Normal"/>
    <w:qFormat/>
    <w:rsid w:val="00EA172B"/>
    <w:pPr>
      <w:tabs>
        <w:tab w:val="left" w:pos="3936"/>
      </w:tabs>
      <w:spacing w:line="288" w:lineRule="auto"/>
    </w:pPr>
    <w:rPr>
      <w:rFonts w:asciiTheme="minorHAnsi" w:hAnsiTheme="minorHAnsi"/>
      <w:i/>
      <w:szCs w:val="24"/>
    </w:rPr>
  </w:style>
  <w:style w:type="paragraph" w:customStyle="1" w:styleId="Text">
    <w:name w:val="|| Text"/>
    <w:basedOn w:val="Normal"/>
    <w:qFormat/>
    <w:rsid w:val="00077C48"/>
    <w:pPr>
      <w:tabs>
        <w:tab w:val="left" w:pos="3936"/>
      </w:tabs>
      <w:spacing w:line="288" w:lineRule="auto"/>
    </w:pPr>
    <w:rPr>
      <w:rFonts w:ascii="Franklin Gothic Book" w:hAnsi="Franklin Gothic Book"/>
    </w:rPr>
  </w:style>
  <w:style w:type="paragraph" w:customStyle="1" w:styleId="ListBulletred0">
    <w:name w:val="|| List Bullet red"/>
    <w:basedOn w:val="Text"/>
    <w:autoRedefine/>
    <w:uiPriority w:val="99"/>
    <w:qFormat/>
    <w:rsid w:val="00F539D3"/>
    <w:rPr>
      <w:rFonts w:ascii="Times New Roman" w:eastAsia="ＭＳ 明朝" w:hAnsi="Times New Roman"/>
      <w:color w:val="000000"/>
      <w:kern w:val="24"/>
    </w:rPr>
  </w:style>
  <w:style w:type="paragraph" w:customStyle="1" w:styleId="Continuationofbullet">
    <w:name w:val="|| Continuation of bullet"/>
    <w:basedOn w:val="Normal"/>
    <w:uiPriority w:val="99"/>
    <w:rsid w:val="00160AEA"/>
    <w:pPr>
      <w:spacing w:line="288" w:lineRule="auto"/>
      <w:ind w:left="357"/>
    </w:pPr>
    <w:rPr>
      <w:rFonts w:ascii="Franklin Gothic Book" w:eastAsia="ＭＳ 明朝" w:hAnsi="Franklin Gothic Book"/>
      <w:color w:val="000000"/>
      <w:kern w:val="24"/>
    </w:rPr>
  </w:style>
  <w:style w:type="paragraph" w:customStyle="1" w:styleId="Style1">
    <w:name w:val="Style1"/>
    <w:basedOn w:val="ListBulletred0"/>
    <w:autoRedefine/>
    <w:qFormat/>
    <w:rsid w:val="00A153CE"/>
  </w:style>
  <w:style w:type="paragraph" w:styleId="ListParagraph">
    <w:name w:val="List Paragraph"/>
    <w:basedOn w:val="Normal"/>
    <w:autoRedefine/>
    <w:uiPriority w:val="34"/>
    <w:qFormat/>
    <w:rsid w:val="00F539D3"/>
    <w:pPr>
      <w:ind w:left="720"/>
      <w:contextualSpacing/>
    </w:pPr>
  </w:style>
  <w:style w:type="paragraph" w:customStyle="1" w:styleId="ListBulletred">
    <w:name w:val="List Bullet red"/>
    <w:basedOn w:val="Normal"/>
    <w:autoRedefine/>
    <w:qFormat/>
    <w:rsid w:val="00F539D3"/>
    <w:pPr>
      <w:numPr>
        <w:numId w:val="6"/>
      </w:numPr>
    </w:pPr>
    <w:rPr>
      <w:color w:val="000000"/>
      <w:kern w:val="24"/>
    </w:rPr>
  </w:style>
  <w:style w:type="paragraph" w:styleId="BalloonText">
    <w:name w:val="Balloon Text"/>
    <w:basedOn w:val="Normal"/>
    <w:link w:val="BalloonTextChar"/>
    <w:uiPriority w:val="99"/>
    <w:semiHidden/>
    <w:unhideWhenUsed/>
    <w:rsid w:val="008E2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C1B"/>
    <w:rPr>
      <w:rFonts w:ascii="Lucida Grande" w:eastAsia="Times" w:hAnsi="Lucida Grande" w:cs="Lucida Grande"/>
      <w:sz w:val="18"/>
      <w:szCs w:val="18"/>
      <w:lang w:val="en-GB"/>
    </w:rPr>
  </w:style>
  <w:style w:type="paragraph" w:customStyle="1" w:styleId="-Numbered">
    <w:name w:val="-&gt;Numbered"/>
    <w:basedOn w:val="Normal"/>
    <w:qFormat/>
    <w:rsid w:val="00A66F4D"/>
    <w:pPr>
      <w:numPr>
        <w:numId w:val="7"/>
      </w:numPr>
      <w:spacing w:after="360" w:line="360" w:lineRule="exact"/>
    </w:pPr>
    <w:rPr>
      <w:rFonts w:ascii="Times New Roman" w:hAnsi="Times New Roman"/>
    </w:rPr>
  </w:style>
  <w:style w:type="paragraph" w:customStyle="1" w:styleId="-Numberedindented">
    <w:name w:val="-&gt;Numbered indented"/>
    <w:basedOn w:val="-Numbered"/>
    <w:qFormat/>
    <w:rsid w:val="00A66F4D"/>
    <w:pPr>
      <w:numPr>
        <w:numId w:val="0"/>
      </w:numPr>
      <w:spacing w:after="320" w:line="320" w:lineRule="exact"/>
      <w:ind w:left="1330"/>
    </w:pPr>
    <w:rPr>
      <w:i/>
    </w:rPr>
  </w:style>
  <w:style w:type="paragraph" w:styleId="FootnoteText">
    <w:name w:val="footnote text"/>
    <w:basedOn w:val="Normal"/>
    <w:link w:val="FootnoteTextChar"/>
    <w:qFormat/>
    <w:rsid w:val="00224853"/>
    <w:rPr>
      <w:rFonts w:eastAsiaTheme="minorEastAsia" w:cstheme="minorBidi"/>
      <w:sz w:val="16"/>
      <w:szCs w:val="16"/>
      <w:lang w:val="en-US" w:eastAsia="ja-JP"/>
    </w:rPr>
  </w:style>
  <w:style w:type="character" w:customStyle="1" w:styleId="FootnoteTextChar">
    <w:name w:val="Footnote Text Char"/>
    <w:basedOn w:val="DefaultParagraphFont"/>
    <w:link w:val="FootnoteText"/>
    <w:rsid w:val="00224853"/>
    <w:rPr>
      <w:rFonts w:asciiTheme="majorHAnsi" w:hAnsiTheme="majorHAnsi"/>
      <w:sz w:val="16"/>
      <w:szCs w:val="16"/>
    </w:rPr>
  </w:style>
  <w:style w:type="character" w:customStyle="1" w:styleId="Heading1Char">
    <w:name w:val="Heading 1 Char"/>
    <w:basedOn w:val="DefaultParagraphFont"/>
    <w:link w:val="Heading1"/>
    <w:rsid w:val="00EA172B"/>
    <w:rPr>
      <w:i/>
      <w:sz w:val="22"/>
    </w:rPr>
  </w:style>
  <w:style w:type="paragraph" w:customStyle="1" w:styleId="Quoteindent">
    <w:name w:val="Quote indent"/>
    <w:basedOn w:val="Normal"/>
    <w:qFormat/>
    <w:rsid w:val="008320D7"/>
    <w:pPr>
      <w:ind w:left="993"/>
    </w:pPr>
    <w:rPr>
      <w:rFonts w:asciiTheme="minorHAnsi" w:hAnsiTheme="minorHAnsi"/>
      <w:color w:val="000000" w:themeColor="text1"/>
    </w:rPr>
  </w:style>
  <w:style w:type="paragraph" w:customStyle="1" w:styleId="-Heading">
    <w:name w:val="-&gt; Heading"/>
    <w:qFormat/>
    <w:rsid w:val="008E0022"/>
    <w:pPr>
      <w:ind w:left="378"/>
    </w:pPr>
    <w:rPr>
      <w:rFonts w:ascii="Times New Roman" w:eastAsia="Times" w:hAnsi="Times New Roman" w:cs="Times New Roman"/>
      <w:b/>
      <w:sz w:val="22"/>
      <w:szCs w:val="22"/>
      <w:lang w:val="en-GB" w:eastAsia="en-US"/>
    </w:rPr>
  </w:style>
  <w:style w:type="character" w:styleId="FootnoteReference">
    <w:name w:val="footnote reference"/>
    <w:basedOn w:val="DefaultParagraphFont"/>
    <w:uiPriority w:val="99"/>
    <w:unhideWhenUsed/>
    <w:rsid w:val="00EC4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678</Words>
  <Characters>3869</Characters>
  <Application>Microsoft Macintosh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Frankel</dc:creator>
  <cp:keywords/>
  <dc:description/>
  <cp:lastModifiedBy>Maurice Frankel</cp:lastModifiedBy>
  <cp:revision>92</cp:revision>
  <cp:lastPrinted>2019-07-26T13:55:00Z</cp:lastPrinted>
  <dcterms:created xsi:type="dcterms:W3CDTF">2019-07-14T08:29:00Z</dcterms:created>
  <dcterms:modified xsi:type="dcterms:W3CDTF">2019-07-30T16:57:00Z</dcterms:modified>
</cp:coreProperties>
</file>