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A490C" w14:textId="77777777" w:rsidR="00F14FB1" w:rsidRDefault="00F14FB1" w:rsidP="00C22266">
      <w:r>
        <w:rPr>
          <w:noProof/>
          <w:lang w:val="en-US"/>
        </w:rPr>
        <w:drawing>
          <wp:inline distT="0" distB="0" distL="0" distR="0" wp14:anchorId="50146E0A" wp14:editId="2841B34F">
            <wp:extent cx="1200150" cy="101414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2170" cy="1024304"/>
                    </a:xfrm>
                    <a:prstGeom prst="rect">
                      <a:avLst/>
                    </a:prstGeom>
                    <a:noFill/>
                    <a:ln>
                      <a:noFill/>
                    </a:ln>
                  </pic:spPr>
                </pic:pic>
              </a:graphicData>
            </a:graphic>
          </wp:inline>
        </w:drawing>
      </w:r>
    </w:p>
    <w:p w14:paraId="3D085895" w14:textId="77777777" w:rsidR="00F14FB1" w:rsidRPr="0056001B" w:rsidRDefault="00F14FB1" w:rsidP="00F14FB1">
      <w:pPr>
        <w:rPr>
          <w:b/>
          <w:bCs/>
          <w:color w:val="7030A0"/>
        </w:rPr>
      </w:pPr>
      <w:r w:rsidRPr="0056001B">
        <w:rPr>
          <w:b/>
          <w:bCs/>
          <w:noProof/>
          <w:color w:val="7030A0"/>
        </w:rPr>
        <w:t>CFoIS</w:t>
      </w:r>
    </w:p>
    <w:p w14:paraId="043B2B24" w14:textId="77777777" w:rsidR="00F14FB1" w:rsidRDefault="00F14FB1" w:rsidP="00F14FB1">
      <w:r w:rsidRPr="0056001B">
        <w:rPr>
          <w:b/>
          <w:bCs/>
          <w:color w:val="7030A0"/>
        </w:rPr>
        <w:t xml:space="preserve">Promoting the Right to </w:t>
      </w:r>
      <w:r w:rsidRPr="0056001B">
        <w:rPr>
          <w:b/>
          <w:bCs/>
          <w:iCs/>
          <w:color w:val="7030A0"/>
        </w:rPr>
        <w:t>Information in Scotland</w:t>
      </w:r>
    </w:p>
    <w:p w14:paraId="6CF2C3D7" w14:textId="77777777" w:rsidR="00F14FB1" w:rsidRDefault="00F14FB1" w:rsidP="00F14FB1"/>
    <w:p w14:paraId="466D3376" w14:textId="0E7E85A3" w:rsidR="005348E1" w:rsidRPr="005348E1" w:rsidRDefault="005348E1" w:rsidP="005348E1">
      <w:pPr>
        <w:jc w:val="center"/>
        <w:rPr>
          <w:b/>
          <w:bCs/>
        </w:rPr>
      </w:pPr>
      <w:r w:rsidRPr="005348E1">
        <w:rPr>
          <w:b/>
          <w:bCs/>
        </w:rPr>
        <w:t>The Coronavirus (Scotland) Bill</w:t>
      </w:r>
      <w:r w:rsidRPr="005348E1">
        <w:rPr>
          <w:rStyle w:val="Strong"/>
          <w:b w:val="0"/>
          <w:bCs w:val="0"/>
        </w:rPr>
        <w:t xml:space="preserve"> </w:t>
      </w:r>
      <w:r w:rsidRPr="005348E1">
        <w:rPr>
          <w:rStyle w:val="Strong"/>
        </w:rPr>
        <w:t>- Commentary on FoI Implications</w:t>
      </w:r>
    </w:p>
    <w:p w14:paraId="05154F7D" w14:textId="77777777" w:rsidR="0095211C" w:rsidRDefault="0095211C" w:rsidP="007A18CF">
      <w:pPr>
        <w:rPr>
          <w:b/>
          <w:bCs/>
        </w:rPr>
      </w:pPr>
    </w:p>
    <w:p w14:paraId="6FC25D34" w14:textId="1E7B8E78" w:rsidR="005348E1" w:rsidRPr="005348E1" w:rsidRDefault="005348E1" w:rsidP="007A18CF">
      <w:pPr>
        <w:rPr>
          <w:b/>
          <w:bCs/>
        </w:rPr>
      </w:pPr>
      <w:r w:rsidRPr="005348E1">
        <w:rPr>
          <w:b/>
          <w:bCs/>
        </w:rPr>
        <w:t>Overview</w:t>
      </w:r>
    </w:p>
    <w:p w14:paraId="2108A627" w14:textId="69C690AE" w:rsidR="00A171D3" w:rsidRDefault="005348E1" w:rsidP="007A18CF">
      <w:r>
        <w:t xml:space="preserve">The Campaign for Freedom of Information in Scotland (CFoIS) </w:t>
      </w:r>
      <w:r w:rsidR="00A171D3">
        <w:t>acknowledges</w:t>
      </w:r>
      <w:r w:rsidR="00A23C65">
        <w:t xml:space="preserve"> and applaud</w:t>
      </w:r>
      <w:r>
        <w:t>s</w:t>
      </w:r>
      <w:r w:rsidR="00A23C65">
        <w:t xml:space="preserve"> the hard work and dedication of Scotland’s public se</w:t>
      </w:r>
      <w:r w:rsidR="007B6F2B">
        <w:t>ctor worker</w:t>
      </w:r>
      <w:r w:rsidR="00A23C65">
        <w:t>s</w:t>
      </w:r>
      <w:r>
        <w:t xml:space="preserve"> generally and specifically during this national emergency. </w:t>
      </w:r>
      <w:r w:rsidR="0095211C">
        <w:t xml:space="preserve">CFoIS recognises the right of </w:t>
      </w:r>
      <w:r w:rsidR="001B7450">
        <w:t xml:space="preserve">all </w:t>
      </w:r>
      <w:r w:rsidR="0095211C">
        <w:t>staff to be safe when they are at work</w:t>
      </w:r>
      <w:r w:rsidR="00980128">
        <w:t xml:space="preserve"> during the COVID-19 pandemic</w:t>
      </w:r>
      <w:r w:rsidR="0095211C">
        <w:t>.</w:t>
      </w:r>
    </w:p>
    <w:p w14:paraId="3C03DD75" w14:textId="77777777" w:rsidR="00BA4104" w:rsidRDefault="00BA4104" w:rsidP="00BA4104"/>
    <w:p w14:paraId="48EDBBDC" w14:textId="121604E0" w:rsidR="003343DC" w:rsidRDefault="00FF69F2" w:rsidP="007A18CF">
      <w:r>
        <w:t>T</w:t>
      </w:r>
      <w:r w:rsidR="007A18CF">
        <w:t>he Coronavirus</w:t>
      </w:r>
      <w:r w:rsidR="003733BE">
        <w:t xml:space="preserve"> (Scotland)</w:t>
      </w:r>
      <w:r w:rsidR="007A18CF">
        <w:t xml:space="preserve"> Bill</w:t>
      </w:r>
      <w:r w:rsidR="003343DC">
        <w:rPr>
          <w:rStyle w:val="EndnoteReference"/>
        </w:rPr>
        <w:endnoteReference w:id="1"/>
      </w:r>
      <w:r w:rsidR="003343DC">
        <w:t xml:space="preserve"> was introduced to manage the impact of this emergency on all our lives. </w:t>
      </w:r>
      <w:r w:rsidR="003343DC" w:rsidRPr="00C84B49">
        <w:t>The legal changes form part of wider measures on the functioning of public bodies in Scotland</w:t>
      </w:r>
      <w:r w:rsidR="003343DC">
        <w:t xml:space="preserve"> but CFoIS will confine its analysis to</w:t>
      </w:r>
      <w:r w:rsidR="003343DC" w:rsidRPr="00C84B49">
        <w:t xml:space="preserve"> </w:t>
      </w:r>
      <w:r w:rsidR="003343DC">
        <w:t xml:space="preserve">those parts drafted to amend </w:t>
      </w:r>
      <w:r w:rsidR="003343DC" w:rsidRPr="00C84B49">
        <w:t>The Fr</w:t>
      </w:r>
      <w:r w:rsidR="003343DC">
        <w:t xml:space="preserve">eedom of Information (Scotland) Act 2002 (FoISA). CFoIS believes the Bill must be recalibrated to restore balance to the delivery of FoI rights and duties.  CFoIS set out our reasons in this MSP briefing to emphasise that the public’s right to know can be protected and remain strong whilst giving public bodies the flexibility to target staff in critical areas such as health and social care.  </w:t>
      </w:r>
    </w:p>
    <w:p w14:paraId="13CDBC08" w14:textId="77777777" w:rsidR="003343DC" w:rsidRDefault="003343DC" w:rsidP="007A18CF"/>
    <w:p w14:paraId="11951AF3" w14:textId="7503F6AA" w:rsidR="003343DC" w:rsidRPr="000968DE" w:rsidRDefault="003343DC" w:rsidP="00A171D3">
      <w:r>
        <w:t xml:space="preserve">The published Bill proposes to allow a public body up to five months to respond to a simple </w:t>
      </w:r>
      <w:r w:rsidR="001B7450">
        <w:t>freedom of</w:t>
      </w:r>
      <w:r>
        <w:t xml:space="preserve"> information</w:t>
      </w:r>
      <w:r w:rsidR="001B7450">
        <w:t xml:space="preserve"> request</w:t>
      </w:r>
      <w:r>
        <w:t xml:space="preserve"> and another five months to carry out an internal review of its original decision.  CFoIS believes this timeframe is excessive and will negatively impact on public trust, on organisational o</w:t>
      </w:r>
      <w:r w:rsidRPr="00F14FB1">
        <w:t>penness</w:t>
      </w:r>
      <w:r>
        <w:t xml:space="preserve"> and </w:t>
      </w:r>
      <w:r w:rsidRPr="00F14FB1">
        <w:t>transparency</w:t>
      </w:r>
      <w:r>
        <w:t xml:space="preserve">.  </w:t>
      </w:r>
      <w:r w:rsidRPr="00C84B49">
        <w:t>The</w:t>
      </w:r>
      <w:r w:rsidR="001B7450">
        <w:t xml:space="preserve"> Bill is out of step with the</w:t>
      </w:r>
      <w:r w:rsidRPr="00C84B49">
        <w:t xml:space="preserve"> popularity of FoI</w:t>
      </w:r>
      <w:r w:rsidR="001B7450">
        <w:t xml:space="preserve">: </w:t>
      </w:r>
      <w:r>
        <w:t xml:space="preserve"> in 2017 independent polling for the Scottish Information Commissioner revealed that </w:t>
      </w:r>
      <w:r w:rsidRPr="00A171D3">
        <w:rPr>
          <w:lang w:val="en-US"/>
        </w:rPr>
        <w:t>94% agreed it is important for the public to access information and 77% would be more likely to trust an authority that publishes a lot of information about its work.</w:t>
      </w:r>
      <w:r>
        <w:rPr>
          <w:rStyle w:val="EndnoteReference"/>
          <w:lang w:val="en-US"/>
        </w:rPr>
        <w:endnoteReference w:id="2"/>
      </w:r>
    </w:p>
    <w:p w14:paraId="75C8CCE3" w14:textId="77945067" w:rsidR="005348E1" w:rsidRDefault="005348E1" w:rsidP="007A18CF"/>
    <w:p w14:paraId="5924BB8C" w14:textId="6B7D79E3" w:rsidR="007A18CF" w:rsidRDefault="005155C3" w:rsidP="007A18CF">
      <w:r>
        <w:t xml:space="preserve">The </w:t>
      </w:r>
      <w:r w:rsidR="003733BE">
        <w:t>Scottish</w:t>
      </w:r>
      <w:r w:rsidR="007A18CF">
        <w:t xml:space="preserve"> Government’s </w:t>
      </w:r>
      <w:r w:rsidR="003733BE">
        <w:t>proposals</w:t>
      </w:r>
      <w:r w:rsidR="00A171D3">
        <w:t xml:space="preserve"> introduce </w:t>
      </w:r>
      <w:r w:rsidR="007A18CF" w:rsidRPr="00F14FB1">
        <w:t>a lengthy response time</w:t>
      </w:r>
      <w:r w:rsidR="00A171D3">
        <w:t xml:space="preserve"> for information requests</w:t>
      </w:r>
      <w:r w:rsidR="00E27ECA">
        <w:t xml:space="preserve"> in the lead up to,</w:t>
      </w:r>
      <w:r w:rsidR="003733BE">
        <w:t xml:space="preserve"> during and after the Scottish elections scheduled for May 2021</w:t>
      </w:r>
      <w:r w:rsidR="007A18CF">
        <w:t xml:space="preserve">.  </w:t>
      </w:r>
      <w:r w:rsidR="005348E1">
        <w:t xml:space="preserve">CFoIS believes this potentially undermines democratic debate and may prevent </w:t>
      </w:r>
      <w:r w:rsidR="00C10F62">
        <w:t>the public</w:t>
      </w:r>
      <w:r w:rsidR="005348E1">
        <w:t xml:space="preserve"> accessing official information so they can form an opinion.  Participating in fair elections and forming an opinion are human rights contained in the European Convention on Human Rights (ECHR). </w:t>
      </w:r>
    </w:p>
    <w:p w14:paraId="73F06B75" w14:textId="77777777" w:rsidR="00B55B91" w:rsidRDefault="00B55B91" w:rsidP="00C84B49"/>
    <w:p w14:paraId="58B8D1C5" w14:textId="305165E6" w:rsidR="00BA4104" w:rsidRDefault="00BA4104" w:rsidP="007B6F2B">
      <w:pPr>
        <w:rPr>
          <w:b/>
          <w:bCs/>
        </w:rPr>
      </w:pPr>
      <w:r>
        <w:rPr>
          <w:b/>
          <w:bCs/>
        </w:rPr>
        <w:t>Existing Problems</w:t>
      </w:r>
    </w:p>
    <w:p w14:paraId="19139C1B" w14:textId="5E9CBE72" w:rsidR="00BA4104" w:rsidRDefault="00BA4104" w:rsidP="007B6F2B">
      <w:r>
        <w:t xml:space="preserve">FoISA is currently the subject of post-legislative scrutiny by the Public </w:t>
      </w:r>
      <w:r w:rsidR="00C10F62">
        <w:t>Audit</w:t>
      </w:r>
      <w:r>
        <w:t xml:space="preserve"> and </w:t>
      </w:r>
    </w:p>
    <w:p w14:paraId="23037867" w14:textId="59938B1D" w:rsidR="003343DC" w:rsidRDefault="00BA4104" w:rsidP="007B6F2B">
      <w:r>
        <w:t xml:space="preserve">Post Legislative Scrutiny </w:t>
      </w:r>
      <w:r w:rsidRPr="00D4264F">
        <w:t>Committee of the Scottish Parliament.   Scrutiny was prompted by a unanimous motion at the Scottish Parliament on 21</w:t>
      </w:r>
      <w:r w:rsidRPr="00D4264F">
        <w:rPr>
          <w:vertAlign w:val="superscript"/>
        </w:rPr>
        <w:t>st</w:t>
      </w:r>
      <w:r w:rsidRPr="00D4264F">
        <w:t xml:space="preserve"> June 2017 which in turn was prompted by a letter of complaint signed by journalists and repeated criticism from organisations such as CFoIS.  Therefore</w:t>
      </w:r>
      <w:r w:rsidR="00D4264F">
        <w:t>,</w:t>
      </w:r>
      <w:r w:rsidRPr="00D4264F">
        <w:t xml:space="preserve"> the current system</w:t>
      </w:r>
      <w:r w:rsidR="00C10F62">
        <w:t xml:space="preserve"> needs reformed.</w:t>
      </w:r>
      <w:r w:rsidRPr="00D4264F">
        <w:t xml:space="preserve"> </w:t>
      </w:r>
      <w:r w:rsidR="00D4264F">
        <w:t>Furthermore,</w:t>
      </w:r>
      <w:r w:rsidRPr="00D4264F">
        <w:t xml:space="preserve"> </w:t>
      </w:r>
      <w:r w:rsidR="00D4264F" w:rsidRPr="00D4264F">
        <w:t>the Scottish Government’s</w:t>
      </w:r>
      <w:r w:rsidR="00D4264F">
        <w:t xml:space="preserve"> </w:t>
      </w:r>
      <w:r w:rsidR="00D4264F" w:rsidRPr="00D4264F">
        <w:t xml:space="preserve">performance on FoISA delivery is </w:t>
      </w:r>
      <w:r w:rsidR="00D4264F">
        <w:t>still</w:t>
      </w:r>
      <w:r w:rsidR="00D4264F" w:rsidRPr="00D4264F">
        <w:t xml:space="preserve"> subject to enforcement action by the</w:t>
      </w:r>
      <w:r w:rsidR="001B7450">
        <w:t xml:space="preserve"> </w:t>
      </w:r>
      <w:r w:rsidR="00D4264F" w:rsidRPr="00D4264F">
        <w:t>Commissioner</w:t>
      </w:r>
      <w:r w:rsidR="00C10F62">
        <w:t xml:space="preserve"> </w:t>
      </w:r>
      <w:r w:rsidR="00F448B7">
        <w:t xml:space="preserve">as set out in </w:t>
      </w:r>
      <w:r w:rsidR="00C10F62">
        <w:t xml:space="preserve">correspondence </w:t>
      </w:r>
      <w:r w:rsidR="00C10F62">
        <w:lastRenderedPageBreak/>
        <w:t xml:space="preserve">dated </w:t>
      </w:r>
      <w:r w:rsidR="00D4264F" w:rsidRPr="00D4264F">
        <w:t>2</w:t>
      </w:r>
      <w:r w:rsidR="00D4264F" w:rsidRPr="00D4264F">
        <w:rPr>
          <w:vertAlign w:val="superscript"/>
        </w:rPr>
        <w:t>nd</w:t>
      </w:r>
      <w:r w:rsidR="00D4264F">
        <w:t xml:space="preserve"> </w:t>
      </w:r>
      <w:r w:rsidR="00D4264F" w:rsidRPr="00D4264F">
        <w:t>February 2018</w:t>
      </w:r>
      <w:r w:rsidR="00F448B7">
        <w:t>.</w:t>
      </w:r>
      <w:r w:rsidR="003343DC">
        <w:rPr>
          <w:rStyle w:val="EndnoteReference"/>
        </w:rPr>
        <w:endnoteReference w:id="3"/>
      </w:r>
      <w:r w:rsidR="003343DC">
        <w:t xml:space="preserve">  There are other operational concerns: the </w:t>
      </w:r>
      <w:r w:rsidR="001B7450">
        <w:t xml:space="preserve">Scottish Information </w:t>
      </w:r>
      <w:r w:rsidR="003343DC">
        <w:t>Commissioner reporte</w:t>
      </w:r>
      <w:r w:rsidR="001B7450">
        <w:t>d</w:t>
      </w:r>
      <w:r w:rsidR="003343DC">
        <w:t xml:space="preserve"> in 2019 that his office carried out 251 formal ‘interventions’</w:t>
      </w:r>
      <w:r w:rsidR="001B7450">
        <w:t>,</w:t>
      </w:r>
      <w:r w:rsidR="003343DC">
        <w:t xml:space="preserve"> an increase of 17</w:t>
      </w:r>
      <w:r w:rsidR="001B7450">
        <w:t xml:space="preserve"> in one year, due to practice issues.</w:t>
      </w:r>
      <w:r w:rsidR="003343DC">
        <w:rPr>
          <w:rStyle w:val="EndnoteReference"/>
        </w:rPr>
        <w:endnoteReference w:id="4"/>
      </w:r>
    </w:p>
    <w:p w14:paraId="6372925F" w14:textId="3D662C91" w:rsidR="003343DC" w:rsidRDefault="003343DC" w:rsidP="007B6F2B"/>
    <w:p w14:paraId="13C8794A" w14:textId="28ACB59D" w:rsidR="003343DC" w:rsidRPr="00D4264F" w:rsidRDefault="003343DC" w:rsidP="00C023DF">
      <w:r>
        <w:t xml:space="preserve">The public’s use of FoI rights continues to grow and there is also evidence that more requestors are dissatisfied with the responses they receive so they complain to the Commissioner: there were </w:t>
      </w:r>
      <w:r w:rsidR="00C023DF" w:rsidRPr="00C023DF">
        <w:t>83,963 reported requests for information in 2018/19, up 8.3% from 2017/18</w:t>
      </w:r>
      <w:r>
        <w:t>; a</w:t>
      </w:r>
      <w:r w:rsidRPr="00C023DF">
        <w:t xml:space="preserve">ppeals to the Commissioner </w:t>
      </w:r>
      <w:r>
        <w:t>rose by</w:t>
      </w:r>
      <w:r w:rsidRPr="00C023DF">
        <w:t xml:space="preserve"> 0.7% in 2018/19</w:t>
      </w:r>
      <w:r>
        <w:t>.</w:t>
      </w:r>
    </w:p>
    <w:p w14:paraId="51E97694" w14:textId="77777777" w:rsidR="003343DC" w:rsidRDefault="003343DC" w:rsidP="007B6F2B">
      <w:pPr>
        <w:rPr>
          <w:b/>
          <w:bCs/>
        </w:rPr>
      </w:pPr>
    </w:p>
    <w:p w14:paraId="22F8491A" w14:textId="45546668" w:rsidR="003343DC" w:rsidRPr="007B40C0" w:rsidRDefault="003343DC" w:rsidP="007B6F2B">
      <w:pPr>
        <w:rPr>
          <w:b/>
          <w:bCs/>
        </w:rPr>
      </w:pPr>
      <w:r w:rsidRPr="007B40C0">
        <w:rPr>
          <w:b/>
          <w:bCs/>
        </w:rPr>
        <w:t>Alternative Approach</w:t>
      </w:r>
    </w:p>
    <w:p w14:paraId="52235932" w14:textId="0C4CC17D" w:rsidR="003343DC" w:rsidRDefault="003343DC" w:rsidP="007B6F2B">
      <w:r>
        <w:t>The Bill’s proposals were published without any consultation, despite CFoIS convening the Scottish Public Information Forum (SPIF) whose</w:t>
      </w:r>
      <w:r w:rsidRPr="004A43FA">
        <w:t xml:space="preserve"> role is incorporated in the Scottish Government’s Six FoI principles published in 2007</w:t>
      </w:r>
      <w:r w:rsidR="001B7450">
        <w:t>:</w:t>
      </w:r>
      <w:r>
        <w:t xml:space="preserve"> “W</w:t>
      </w:r>
      <w:r w:rsidRPr="004A43FA">
        <w:t xml:space="preserve">e ensure the effective operation of the Act by fostering and maintaining good working relationships on Freedom of Information with stakeholders such as other public authorities and the Scottish Public Information Forum." </w:t>
      </w:r>
      <w:r>
        <w:rPr>
          <w:rStyle w:val="EndnoteReference"/>
        </w:rPr>
        <w:endnoteReference w:id="5"/>
      </w:r>
    </w:p>
    <w:p w14:paraId="732ABA37" w14:textId="4C534B90" w:rsidR="005348E1" w:rsidRDefault="005348E1" w:rsidP="007B6F2B"/>
    <w:p w14:paraId="04744026" w14:textId="77777777" w:rsidR="007B40C0" w:rsidRDefault="005348E1" w:rsidP="007B6F2B">
      <w:r>
        <w:t>Conve</w:t>
      </w:r>
      <w:r w:rsidR="007B40C0">
        <w:t xml:space="preserve">rsely </w:t>
      </w:r>
      <w:r>
        <w:t>F</w:t>
      </w:r>
      <w:r w:rsidR="00A23C65">
        <w:t>oI camp</w:t>
      </w:r>
      <w:r w:rsidR="007B6F2B">
        <w:t>a</w:t>
      </w:r>
      <w:r w:rsidR="00A23C65">
        <w:t>igners globally ha</w:t>
      </w:r>
      <w:r>
        <w:t>ve</w:t>
      </w:r>
      <w:r w:rsidR="00A23C65">
        <w:t xml:space="preserve"> been working</w:t>
      </w:r>
      <w:r w:rsidR="007B40C0">
        <w:t xml:space="preserve"> collaboratively </w:t>
      </w:r>
      <w:r w:rsidR="00A23C65">
        <w:t xml:space="preserve">on a </w:t>
      </w:r>
    </w:p>
    <w:p w14:paraId="15D4E8F0" w14:textId="24D7C383" w:rsidR="007B40C0" w:rsidRDefault="00A23C65" w:rsidP="007B6F2B">
      <w:r>
        <w:t xml:space="preserve">sensible and pragmatic approach </w:t>
      </w:r>
      <w:r w:rsidR="007A18CF">
        <w:t xml:space="preserve">for public bodies </w:t>
      </w:r>
      <w:r w:rsidR="007B6F2B">
        <w:t xml:space="preserve">given </w:t>
      </w:r>
      <w:r w:rsidR="00C84B49">
        <w:t xml:space="preserve">the </w:t>
      </w:r>
      <w:r w:rsidR="007B6F2B">
        <w:t>huge pressure</w:t>
      </w:r>
      <w:r w:rsidR="00C84B49">
        <w:t>s</w:t>
      </w:r>
      <w:r w:rsidR="007B6F2B">
        <w:t xml:space="preserve"> to </w:t>
      </w:r>
    </w:p>
    <w:p w14:paraId="1B88D42D" w14:textId="1AB74D08" w:rsidR="007B6F2B" w:rsidRDefault="007B6F2B" w:rsidP="007B6F2B">
      <w:r>
        <w:t xml:space="preserve">deliver at the frontline as well as at the administrative level.  </w:t>
      </w:r>
      <w:r w:rsidR="001B7450">
        <w:t>T</w:t>
      </w:r>
      <w:r w:rsidR="00B55B91">
        <w:rPr>
          <w:rFonts w:eastAsia="Times New Roman"/>
        </w:rPr>
        <w:t xml:space="preserve">he constraints and </w:t>
      </w:r>
      <w:r w:rsidR="00B55B91">
        <w:t>practical obstacles are obvious so we</w:t>
      </w:r>
      <w:r w:rsidR="00B55B91">
        <w:rPr>
          <w:rFonts w:eastAsia="Times New Roman"/>
        </w:rPr>
        <w:t xml:space="preserve"> accept there will be delays or perhaps even holds on requests.</w:t>
      </w:r>
      <w:r w:rsidR="00846349">
        <w:rPr>
          <w:rFonts w:eastAsia="Times New Roman"/>
        </w:rPr>
        <w:t xml:space="preserve">   </w:t>
      </w:r>
      <w:r>
        <w:t>A proportionate response would include:</w:t>
      </w:r>
    </w:p>
    <w:p w14:paraId="0959E5C0" w14:textId="304325B9" w:rsidR="007A374C" w:rsidRPr="007A374C" w:rsidRDefault="003733BE" w:rsidP="00A804A0">
      <w:pPr>
        <w:pStyle w:val="ListParagraph"/>
        <w:numPr>
          <w:ilvl w:val="0"/>
          <w:numId w:val="3"/>
        </w:numPr>
      </w:pPr>
      <w:r w:rsidRPr="003733BE">
        <w:rPr>
          <w:rFonts w:eastAsia="Times New Roman"/>
        </w:rPr>
        <w:t xml:space="preserve">Those designated public bodies that are especially burdened should be included in a list within the Bill and the measures be limited to them. </w:t>
      </w:r>
      <w:r w:rsidR="007A374C">
        <w:rPr>
          <w:rFonts w:eastAsia="Times New Roman"/>
        </w:rPr>
        <w:t>This approach is consistent with FoISA which names the bodies covered.</w:t>
      </w:r>
    </w:p>
    <w:p w14:paraId="73053F0B" w14:textId="3A33463F" w:rsidR="003733BE" w:rsidRDefault="003733BE" w:rsidP="00A804A0">
      <w:pPr>
        <w:pStyle w:val="ListParagraph"/>
        <w:numPr>
          <w:ilvl w:val="0"/>
          <w:numId w:val="3"/>
        </w:numPr>
      </w:pPr>
      <w:r w:rsidRPr="003733BE">
        <w:rPr>
          <w:rFonts w:eastAsia="Times New Roman"/>
        </w:rPr>
        <w:t>Limits on rights need to be justified by the facts</w:t>
      </w:r>
      <w:r w:rsidR="007A374C">
        <w:rPr>
          <w:rFonts w:eastAsia="Times New Roman"/>
        </w:rPr>
        <w:t>.  Any change in the</w:t>
      </w:r>
      <w:r w:rsidR="00F448B7">
        <w:rPr>
          <w:rFonts w:eastAsia="Times New Roman"/>
        </w:rPr>
        <w:t xml:space="preserve"> maximum response time</w:t>
      </w:r>
      <w:r w:rsidR="007A374C">
        <w:rPr>
          <w:rFonts w:eastAsia="Times New Roman"/>
        </w:rPr>
        <w:t xml:space="preserve"> needs to be reasonable in all the c</w:t>
      </w:r>
      <w:r w:rsidR="00211D67">
        <w:rPr>
          <w:rFonts w:eastAsia="Times New Roman"/>
        </w:rPr>
        <w:t>i</w:t>
      </w:r>
      <w:r w:rsidR="007A374C">
        <w:rPr>
          <w:rFonts w:eastAsia="Times New Roman"/>
        </w:rPr>
        <w:t>rcumstances.</w:t>
      </w:r>
      <w:r w:rsidR="00211D67">
        <w:rPr>
          <w:rFonts w:eastAsia="Times New Roman"/>
        </w:rPr>
        <w:t xml:space="preserve">  T</w:t>
      </w:r>
      <w:r w:rsidRPr="003733BE">
        <w:rPr>
          <w:rFonts w:eastAsia="Times New Roman"/>
        </w:rPr>
        <w:t>here are over 10,000 designated public authorities in Scotland</w:t>
      </w:r>
      <w:r w:rsidR="005155C3">
        <w:rPr>
          <w:rFonts w:eastAsia="Times New Roman"/>
        </w:rPr>
        <w:t xml:space="preserve"> and</w:t>
      </w:r>
      <w:r w:rsidR="00E27ECA">
        <w:rPr>
          <w:rFonts w:eastAsia="Times New Roman"/>
        </w:rPr>
        <w:t xml:space="preserve"> for many</w:t>
      </w:r>
      <w:r w:rsidR="007A374C">
        <w:rPr>
          <w:rFonts w:eastAsia="Times New Roman"/>
        </w:rPr>
        <w:t>, the</w:t>
      </w:r>
      <w:r w:rsidR="005155C3">
        <w:rPr>
          <w:rFonts w:eastAsia="Times New Roman"/>
        </w:rPr>
        <w:t xml:space="preserve"> </w:t>
      </w:r>
      <w:r w:rsidRPr="003733BE">
        <w:rPr>
          <w:rFonts w:eastAsia="Times New Roman"/>
        </w:rPr>
        <w:t>current timescales</w:t>
      </w:r>
      <w:r w:rsidR="005155C3">
        <w:rPr>
          <w:rFonts w:eastAsia="Times New Roman"/>
        </w:rPr>
        <w:t xml:space="preserve"> may still be doable</w:t>
      </w:r>
      <w:r w:rsidR="007A374C">
        <w:rPr>
          <w:rFonts w:eastAsia="Times New Roman"/>
        </w:rPr>
        <w:t xml:space="preserve"> and reputationally desirable</w:t>
      </w:r>
      <w:r w:rsidRPr="003733BE">
        <w:rPr>
          <w:rFonts w:eastAsia="Times New Roman"/>
        </w:rPr>
        <w:t>.</w:t>
      </w:r>
      <w:r w:rsidR="00A171D3">
        <w:rPr>
          <w:rFonts w:eastAsia="Times New Roman"/>
        </w:rPr>
        <w:t xml:space="preserve">  </w:t>
      </w:r>
    </w:p>
    <w:p w14:paraId="4F371E6C" w14:textId="77777777" w:rsidR="00BA4104" w:rsidRDefault="00C84B49" w:rsidP="00B55B91">
      <w:pPr>
        <w:pStyle w:val="ListParagraph"/>
        <w:numPr>
          <w:ilvl w:val="0"/>
          <w:numId w:val="3"/>
        </w:numPr>
        <w:rPr>
          <w:color w:val="auto"/>
        </w:rPr>
      </w:pPr>
      <w:r w:rsidRPr="00B55B91">
        <w:rPr>
          <w:color w:val="auto"/>
        </w:rPr>
        <w:t>Requests related to the coronavirus crisis should have priority and be answered within existing deadlines and the deadline for the rest c</w:t>
      </w:r>
      <w:r w:rsidR="00BA4104">
        <w:rPr>
          <w:color w:val="auto"/>
        </w:rPr>
        <w:t>an</w:t>
      </w:r>
      <w:r w:rsidRPr="00B55B91">
        <w:rPr>
          <w:color w:val="auto"/>
        </w:rPr>
        <w:t xml:space="preserve"> be longer</w:t>
      </w:r>
      <w:r w:rsidR="00B55B91" w:rsidRPr="00B55B91">
        <w:rPr>
          <w:color w:val="auto"/>
        </w:rPr>
        <w:t xml:space="preserve"> when </w:t>
      </w:r>
      <w:r w:rsidR="007A18CF">
        <w:rPr>
          <w:color w:val="auto"/>
        </w:rPr>
        <w:t>t</w:t>
      </w:r>
      <w:r w:rsidR="00B55B91" w:rsidRPr="00B55B91">
        <w:rPr>
          <w:color w:val="auto"/>
        </w:rPr>
        <w:t xml:space="preserve">here are good reasons for the delay such as </w:t>
      </w:r>
      <w:r w:rsidR="00B55B91" w:rsidRPr="00B55B91">
        <w:rPr>
          <w:rFonts w:eastAsia="Times New Roman"/>
        </w:rPr>
        <w:t>requests that require physical processing</w:t>
      </w:r>
      <w:r w:rsidR="007A18CF">
        <w:rPr>
          <w:rFonts w:eastAsia="Times New Roman"/>
        </w:rPr>
        <w:t xml:space="preserve"> but that’s impossible </w:t>
      </w:r>
      <w:r w:rsidR="00B55B91" w:rsidRPr="00B55B91">
        <w:rPr>
          <w:rFonts w:eastAsia="Times New Roman"/>
        </w:rPr>
        <w:t>w</w:t>
      </w:r>
      <w:r w:rsidR="00B55B91">
        <w:t>ith so many public offices closed and staff working from home</w:t>
      </w:r>
      <w:r w:rsidRPr="00B55B91">
        <w:rPr>
          <w:color w:val="auto"/>
        </w:rPr>
        <w:t>.</w:t>
      </w:r>
      <w:r w:rsidR="00BA4104">
        <w:rPr>
          <w:color w:val="auto"/>
        </w:rPr>
        <w:t xml:space="preserve">  </w:t>
      </w:r>
    </w:p>
    <w:p w14:paraId="0C2F1E64" w14:textId="6114BFEB" w:rsidR="00C84B49" w:rsidRPr="00B55B91" w:rsidRDefault="00BA4104" w:rsidP="00B55B91">
      <w:pPr>
        <w:pStyle w:val="ListParagraph"/>
        <w:numPr>
          <w:ilvl w:val="0"/>
          <w:numId w:val="3"/>
        </w:numPr>
        <w:rPr>
          <w:color w:val="auto"/>
        </w:rPr>
      </w:pPr>
      <w:r>
        <w:rPr>
          <w:color w:val="auto"/>
        </w:rPr>
        <w:t>FoISA already contains a number of ways in which information request</w:t>
      </w:r>
      <w:r w:rsidR="00E36AF7">
        <w:rPr>
          <w:color w:val="auto"/>
        </w:rPr>
        <w:t>s</w:t>
      </w:r>
      <w:r>
        <w:rPr>
          <w:color w:val="auto"/>
        </w:rPr>
        <w:t xml:space="preserve"> can be refused including cost ceilings and rules on vexatious requests</w:t>
      </w:r>
      <w:r w:rsidR="00E36AF7">
        <w:rPr>
          <w:color w:val="auto"/>
        </w:rPr>
        <w:t xml:space="preserve"> and the public as well as designated bodies can be reminded of these</w:t>
      </w:r>
      <w:r>
        <w:rPr>
          <w:color w:val="auto"/>
        </w:rPr>
        <w:t xml:space="preserve">. </w:t>
      </w:r>
    </w:p>
    <w:p w14:paraId="06AD8F10" w14:textId="6E9F3FB3" w:rsidR="00C84B49" w:rsidRDefault="00C84B49" w:rsidP="00B55B91">
      <w:pPr>
        <w:pStyle w:val="ListParagraph"/>
        <w:numPr>
          <w:ilvl w:val="0"/>
          <w:numId w:val="3"/>
        </w:numPr>
        <w:rPr>
          <w:color w:val="auto"/>
        </w:rPr>
      </w:pPr>
      <w:r w:rsidRPr="00B55B91">
        <w:rPr>
          <w:color w:val="auto"/>
        </w:rPr>
        <w:t xml:space="preserve">A number of public authorities </w:t>
      </w:r>
      <w:r w:rsidR="00B55B91" w:rsidRPr="00B55B91">
        <w:rPr>
          <w:color w:val="auto"/>
        </w:rPr>
        <w:t>are</w:t>
      </w:r>
      <w:r w:rsidRPr="00B55B91">
        <w:rPr>
          <w:color w:val="auto"/>
        </w:rPr>
        <w:t xml:space="preserve"> functioning to tackle the pandemic, they have the information related to the pandemic, so they are able t</w:t>
      </w:r>
      <w:r w:rsidR="00B55B91" w:rsidRPr="00B55B91">
        <w:rPr>
          <w:color w:val="auto"/>
        </w:rPr>
        <w:t>o</w:t>
      </w:r>
      <w:r w:rsidRPr="00B55B91">
        <w:rPr>
          <w:color w:val="auto"/>
        </w:rPr>
        <w:t xml:space="preserve"> pro-actively</w:t>
      </w:r>
      <w:r w:rsidR="00B55B91" w:rsidRPr="00B55B91">
        <w:rPr>
          <w:color w:val="auto"/>
        </w:rPr>
        <w:t xml:space="preserve"> publish it</w:t>
      </w:r>
      <w:r w:rsidRPr="00B55B91">
        <w:rPr>
          <w:color w:val="auto"/>
        </w:rPr>
        <w:t xml:space="preserve"> avoiding the need for FoI requests in the first place. </w:t>
      </w:r>
      <w:r w:rsidR="003733BE">
        <w:rPr>
          <w:color w:val="auto"/>
        </w:rPr>
        <w:t>This should be an obligation contained in the Bill.</w:t>
      </w:r>
    </w:p>
    <w:p w14:paraId="00AF4009" w14:textId="5A083FC5" w:rsidR="00026D16" w:rsidRDefault="00211D67" w:rsidP="00211D67">
      <w:pPr>
        <w:pStyle w:val="ListParagraph"/>
        <w:numPr>
          <w:ilvl w:val="0"/>
          <w:numId w:val="3"/>
        </w:numPr>
      </w:pPr>
      <w:r>
        <w:t xml:space="preserve">Making changes to </w:t>
      </w:r>
      <w:r w:rsidR="001B7450">
        <w:t>delivery of FoISA</w:t>
      </w:r>
      <w:r>
        <w:t xml:space="preserve"> that provides continuity and certainty in the practice and enjoyment of rights.</w:t>
      </w:r>
      <w:r w:rsidR="001B7450">
        <w:t xml:space="preserve">  </w:t>
      </w:r>
    </w:p>
    <w:p w14:paraId="42790C18" w14:textId="77777777" w:rsidR="00211D67" w:rsidRDefault="00211D67" w:rsidP="00211D67">
      <w:pPr>
        <w:pStyle w:val="ListParagraph"/>
      </w:pPr>
    </w:p>
    <w:p w14:paraId="739B9E07" w14:textId="08620C49" w:rsidR="003343DC" w:rsidRDefault="000924B7" w:rsidP="000924B7">
      <w:pPr>
        <w:rPr>
          <w:color w:val="auto"/>
        </w:rPr>
      </w:pPr>
      <w:r>
        <w:rPr>
          <w:color w:val="auto"/>
        </w:rPr>
        <w:t xml:space="preserve">Scotland can learn from practice in other countries such as </w:t>
      </w:r>
      <w:r w:rsidRPr="00B55B91">
        <w:rPr>
          <w:color w:val="auto"/>
        </w:rPr>
        <w:t>Sudan</w:t>
      </w:r>
      <w:r>
        <w:rPr>
          <w:color w:val="auto"/>
        </w:rPr>
        <w:t xml:space="preserve">, where the law expedites the answering of </w:t>
      </w:r>
      <w:r w:rsidR="00E36AF7">
        <w:rPr>
          <w:color w:val="auto"/>
        </w:rPr>
        <w:t xml:space="preserve">certain </w:t>
      </w:r>
      <w:r>
        <w:rPr>
          <w:color w:val="auto"/>
        </w:rPr>
        <w:t>information requests</w:t>
      </w:r>
      <w:r w:rsidR="00E36AF7">
        <w:rPr>
          <w:color w:val="auto"/>
        </w:rPr>
        <w:t>.  For example</w:t>
      </w:r>
      <w:r w:rsidR="00C023DF">
        <w:rPr>
          <w:color w:val="auto"/>
        </w:rPr>
        <w:t>,</w:t>
      </w:r>
      <w:r>
        <w:rPr>
          <w:color w:val="auto"/>
        </w:rPr>
        <w:t xml:space="preserve"> </w:t>
      </w:r>
      <w:r w:rsidRPr="00B55B91">
        <w:rPr>
          <w:color w:val="auto"/>
        </w:rPr>
        <w:t>“If the submitted application contains information necessary to protect the life or freedom of a</w:t>
      </w:r>
      <w:r>
        <w:rPr>
          <w:color w:val="auto"/>
        </w:rPr>
        <w:t>n</w:t>
      </w:r>
      <w:r w:rsidRPr="00B55B91">
        <w:rPr>
          <w:color w:val="auto"/>
        </w:rPr>
        <w:t xml:space="preserve"> individual, the public institution must submit the information requested immediately to the applicant in a period not exceeding two days from the date of receipt of the application.”</w:t>
      </w:r>
      <w:r w:rsidR="003343DC">
        <w:rPr>
          <w:rStyle w:val="EndnoteReference"/>
          <w:color w:val="auto"/>
        </w:rPr>
        <w:endnoteReference w:id="6"/>
      </w:r>
    </w:p>
    <w:p w14:paraId="62335547" w14:textId="0B64E5D7" w:rsidR="000924B7" w:rsidRDefault="000924B7">
      <w:pPr>
        <w:rPr>
          <w:b/>
          <w:bCs/>
        </w:rPr>
      </w:pPr>
      <w:r w:rsidRPr="000924B7">
        <w:rPr>
          <w:b/>
          <w:bCs/>
        </w:rPr>
        <w:lastRenderedPageBreak/>
        <w:t>Amend the Bill</w:t>
      </w:r>
    </w:p>
    <w:p w14:paraId="17926EC4" w14:textId="64C8FE75" w:rsidR="007A374C" w:rsidRDefault="00026D16" w:rsidP="007A374C">
      <w:r w:rsidRPr="00F14FB1">
        <w:t xml:space="preserve">The main problems with the </w:t>
      </w:r>
      <w:r w:rsidR="000968DE">
        <w:t>Bill</w:t>
      </w:r>
      <w:r w:rsidRPr="00F14FB1">
        <w:t xml:space="preserve"> a</w:t>
      </w:r>
      <w:r w:rsidR="00447BF3">
        <w:t xml:space="preserve">rise from focusing on the needs of designated bodies at the expense of the rights of requestors.  A balance can be struck which is fair.  </w:t>
      </w:r>
      <w:r w:rsidR="00F864DB">
        <w:t>Also,</w:t>
      </w:r>
      <w:r w:rsidR="00447BF3">
        <w:t xml:space="preserve"> blanket extensions to response times are being introduced which will apply to some designated bodies that are able to reply and meet current timescales and that is un-necessary.  </w:t>
      </w:r>
      <w:r w:rsidR="007A374C">
        <w:t>R</w:t>
      </w:r>
      <w:r w:rsidR="007A374C">
        <w:rPr>
          <w:rFonts w:ascii="Helvetica" w:eastAsia="Times New Roman" w:hAnsi="Helvetica" w:cs="Helvetica"/>
        </w:rPr>
        <w:t>ight to information laws allow people to ensure government officials make good decisions even at a time of national emergency.  T</w:t>
      </w:r>
      <w:r w:rsidR="007A374C" w:rsidRPr="00F14FB1">
        <w:t>he need to maintain public trust in and enable scrutiny of, public services</w:t>
      </w:r>
      <w:r w:rsidR="007A374C">
        <w:t xml:space="preserve"> is critical in helping public services do better as well </w:t>
      </w:r>
      <w:r w:rsidR="007A374C" w:rsidRPr="00F14FB1">
        <w:t>h</w:t>
      </w:r>
      <w:r w:rsidR="007A374C">
        <w:t>o</w:t>
      </w:r>
      <w:r w:rsidR="007A374C" w:rsidRPr="00F14FB1">
        <w:t>ld</w:t>
      </w:r>
      <w:r w:rsidR="007A374C">
        <w:t>ing the G</w:t>
      </w:r>
      <w:r w:rsidR="007A374C" w:rsidRPr="00F14FB1">
        <w:t>overnment to account in real time a</w:t>
      </w:r>
      <w:r w:rsidR="007A374C">
        <w:t>nd</w:t>
      </w:r>
      <w:r w:rsidR="007A374C" w:rsidRPr="00F14FB1">
        <w:t xml:space="preserve"> retrospectively</w:t>
      </w:r>
      <w:r w:rsidR="007A374C">
        <w:t>.</w:t>
      </w:r>
      <w:r w:rsidR="001B7450">
        <w:t xml:space="preserve">  The problems and solutions identified are:</w:t>
      </w:r>
    </w:p>
    <w:p w14:paraId="10A31E2B" w14:textId="0DF7D881" w:rsidR="00367096" w:rsidRPr="00F14FB1" w:rsidRDefault="00367096" w:rsidP="00E36AF7">
      <w:pPr>
        <w:pStyle w:val="ListParagraph"/>
        <w:numPr>
          <w:ilvl w:val="0"/>
          <w:numId w:val="9"/>
        </w:numPr>
        <w:ind w:left="709" w:hanging="567"/>
      </w:pPr>
      <w:r>
        <w:t xml:space="preserve">There is no rational explanation </w:t>
      </w:r>
      <w:r w:rsidR="00846349">
        <w:t xml:space="preserve">as to </w:t>
      </w:r>
      <w:r>
        <w:t>why 60 working days</w:t>
      </w:r>
      <w:r w:rsidR="00846349">
        <w:t xml:space="preserve"> and potentially 100 working days are </w:t>
      </w:r>
      <w:r>
        <w:t>necessary</w:t>
      </w:r>
      <w:r w:rsidR="00846349">
        <w:t xml:space="preserve"> response times</w:t>
      </w:r>
      <w:r>
        <w:t xml:space="preserve">. </w:t>
      </w:r>
      <w:r w:rsidR="00E36AF7" w:rsidRPr="00E36AF7">
        <w:rPr>
          <w:b/>
          <w:bCs/>
        </w:rPr>
        <w:t>Request of MSPs:</w:t>
      </w:r>
      <w:r w:rsidR="00E36AF7">
        <w:t xml:space="preserve"> The Government should be asked to justify specifically this</w:t>
      </w:r>
      <w:r w:rsidR="00C023DF">
        <w:t xml:space="preserve"> new</w:t>
      </w:r>
      <w:r w:rsidR="00E36AF7">
        <w:t xml:space="preserve"> timeframe</w:t>
      </w:r>
      <w:r w:rsidR="00C023DF">
        <w:t xml:space="preserve"> and provide detail on the ‘necessity and urgency’ of </w:t>
      </w:r>
      <w:r w:rsidR="00B53292">
        <w:t>its</w:t>
      </w:r>
      <w:r w:rsidR="001B7450">
        <w:t xml:space="preserve"> actions on FoI</w:t>
      </w:r>
      <w:r w:rsidR="00E36AF7">
        <w:t>.</w:t>
      </w:r>
    </w:p>
    <w:p w14:paraId="2851B493" w14:textId="6A3358B1" w:rsidR="00C22266" w:rsidRPr="00F14FB1" w:rsidRDefault="00C22266" w:rsidP="00E36AF7">
      <w:pPr>
        <w:pStyle w:val="ListParagraph"/>
        <w:numPr>
          <w:ilvl w:val="0"/>
          <w:numId w:val="9"/>
        </w:numPr>
        <w:ind w:left="709" w:hanging="567"/>
      </w:pPr>
      <w:r w:rsidRPr="00F14FB1">
        <w:t xml:space="preserve">The public’s right to receive information within 20 working days </w:t>
      </w:r>
      <w:r w:rsidR="001B7450">
        <w:t>will</w:t>
      </w:r>
      <w:r w:rsidRPr="00F14FB1">
        <w:t xml:space="preserve"> </w:t>
      </w:r>
      <w:r w:rsidR="00E27ECA">
        <w:t>chang</w:t>
      </w:r>
      <w:r w:rsidR="001B7450">
        <w:t>e so</w:t>
      </w:r>
      <w:r w:rsidRPr="00F14FB1">
        <w:t xml:space="preserve"> public bodies can take up to 60 working days</w:t>
      </w:r>
      <w:r w:rsidR="00575DDA">
        <w:t xml:space="preserve"> with a power to extend the response time by another 40 to 100 working days which is the equivalent of five months</w:t>
      </w:r>
      <w:r w:rsidRPr="00F14FB1">
        <w:t>.  This power applies to all services rather than those ‘under pressure’ due to the pandemic.</w:t>
      </w:r>
      <w:r w:rsidR="00575DDA">
        <w:t xml:space="preserve">  </w:t>
      </w:r>
      <w:r w:rsidR="00E36AF7" w:rsidRPr="00E36AF7">
        <w:rPr>
          <w:b/>
          <w:bCs/>
        </w:rPr>
        <w:t>Request of MSPs:</w:t>
      </w:r>
      <w:r w:rsidR="00E36AF7">
        <w:rPr>
          <w:b/>
          <w:bCs/>
        </w:rPr>
        <w:t xml:space="preserve"> </w:t>
      </w:r>
      <w:r w:rsidR="00E36AF7" w:rsidRPr="00E36AF7">
        <w:t>Amend</w:t>
      </w:r>
      <w:r w:rsidR="00C023DF">
        <w:t xml:space="preserve"> Schedule 6, Part 2 Clause 3(1)</w:t>
      </w:r>
      <w:r w:rsidR="00447BF3">
        <w:t xml:space="preserve"> and</w:t>
      </w:r>
      <w:r w:rsidR="00C023DF">
        <w:t xml:space="preserve"> </w:t>
      </w:r>
      <w:r w:rsidR="00447BF3">
        <w:t>5</w:t>
      </w:r>
      <w:r w:rsidR="00C023DF">
        <w:t>(</w:t>
      </w:r>
      <w:r w:rsidR="00447BF3">
        <w:t>1)</w:t>
      </w:r>
      <w:r w:rsidR="00C023DF">
        <w:t xml:space="preserve"> </w:t>
      </w:r>
      <w:r w:rsidR="00447BF3">
        <w:t>of</w:t>
      </w:r>
      <w:r w:rsidR="00E36AF7" w:rsidRPr="00E36AF7">
        <w:t xml:space="preserve"> the Bill to remove</w:t>
      </w:r>
      <w:r w:rsidR="00C023DF">
        <w:t xml:space="preserve"> automatic coverage of the response time to all bodies designated under FoISA.</w:t>
      </w:r>
    </w:p>
    <w:p w14:paraId="10FC5EEC" w14:textId="7D777CEE" w:rsidR="00C22266" w:rsidRPr="00F14FB1" w:rsidRDefault="002B4099" w:rsidP="00E36AF7">
      <w:pPr>
        <w:pStyle w:val="ListParagraph"/>
        <w:numPr>
          <w:ilvl w:val="0"/>
          <w:numId w:val="9"/>
        </w:numPr>
        <w:ind w:left="709" w:hanging="567"/>
      </w:pPr>
      <w:r w:rsidRPr="00F14FB1">
        <w:t xml:space="preserve">Internal reviews of decisions to decline all or part of the information requested may now take much longer - instead of 20 </w:t>
      </w:r>
      <w:r w:rsidR="00575DDA">
        <w:t xml:space="preserve">working </w:t>
      </w:r>
      <w:r w:rsidRPr="00F14FB1">
        <w:t xml:space="preserve">days the response time </w:t>
      </w:r>
      <w:r w:rsidR="00447BF3">
        <w:t>can</w:t>
      </w:r>
      <w:r w:rsidRPr="00F14FB1">
        <w:t xml:space="preserve"> be expanded to 60 </w:t>
      </w:r>
      <w:r w:rsidR="00575DDA" w:rsidRPr="00F14FB1">
        <w:t>working days</w:t>
      </w:r>
      <w:r w:rsidR="00575DDA">
        <w:t xml:space="preserve"> with a power to extend the response time by another 40 to 100 working days which is the equivalent of five months</w:t>
      </w:r>
      <w:r w:rsidRPr="00F14FB1">
        <w:t xml:space="preserve">. </w:t>
      </w:r>
      <w:r w:rsidR="00E36AF7" w:rsidRPr="00E36AF7">
        <w:rPr>
          <w:b/>
          <w:bCs/>
        </w:rPr>
        <w:t>Request of MSPs:</w:t>
      </w:r>
      <w:r w:rsidR="00E36AF7">
        <w:rPr>
          <w:b/>
          <w:bCs/>
        </w:rPr>
        <w:t xml:space="preserve"> </w:t>
      </w:r>
      <w:r w:rsidR="00C023DF" w:rsidRPr="00E36AF7">
        <w:rPr>
          <w:b/>
          <w:bCs/>
        </w:rPr>
        <w:t>Request of MSPs:</w:t>
      </w:r>
      <w:r w:rsidR="00C023DF">
        <w:rPr>
          <w:b/>
          <w:bCs/>
        </w:rPr>
        <w:t xml:space="preserve"> </w:t>
      </w:r>
      <w:r w:rsidR="00C023DF" w:rsidRPr="00E36AF7">
        <w:t>Amend</w:t>
      </w:r>
      <w:r w:rsidR="00C023DF">
        <w:t xml:space="preserve"> Schedule 6, Part 2 Clause 3 (2) and </w:t>
      </w:r>
      <w:r w:rsidR="00447BF3">
        <w:t>5</w:t>
      </w:r>
      <w:r w:rsidR="00C023DF">
        <w:t>(</w:t>
      </w:r>
      <w:r w:rsidR="00447BF3">
        <w:t>1)</w:t>
      </w:r>
      <w:r w:rsidR="00C023DF">
        <w:t xml:space="preserve"> </w:t>
      </w:r>
      <w:r w:rsidR="00447BF3">
        <w:t>of</w:t>
      </w:r>
      <w:r w:rsidR="00C023DF" w:rsidRPr="00E36AF7">
        <w:t xml:space="preserve"> the Bill to </w:t>
      </w:r>
      <w:r w:rsidR="00447BF3">
        <w:t>maintain the current</w:t>
      </w:r>
      <w:r w:rsidR="00C023DF">
        <w:t xml:space="preserve"> response time for internal reviews</w:t>
      </w:r>
      <w:r w:rsidR="00447BF3">
        <w:t xml:space="preserve"> unless the need for an exemption can be established</w:t>
      </w:r>
      <w:r w:rsidR="001B7450">
        <w:t xml:space="preserve"> by specific bodies</w:t>
      </w:r>
      <w:r w:rsidR="00447BF3">
        <w:t xml:space="preserve">. </w:t>
      </w:r>
    </w:p>
    <w:p w14:paraId="26C58EC0" w14:textId="5B9305DB" w:rsidR="00026D16" w:rsidRPr="00F14FB1" w:rsidRDefault="00026D16" w:rsidP="00E36AF7">
      <w:pPr>
        <w:pStyle w:val="ListParagraph"/>
        <w:numPr>
          <w:ilvl w:val="0"/>
          <w:numId w:val="9"/>
        </w:numPr>
        <w:ind w:left="709" w:hanging="567"/>
      </w:pPr>
      <w:r w:rsidRPr="00F14FB1">
        <w:t>T</w:t>
      </w:r>
      <w:r w:rsidR="00BB5EFF" w:rsidRPr="00F14FB1">
        <w:t xml:space="preserve">he Scottish Government </w:t>
      </w:r>
      <w:r w:rsidRPr="00F14FB1">
        <w:t>is</w:t>
      </w:r>
      <w:r w:rsidR="00BB5EFF" w:rsidRPr="00F14FB1">
        <w:t xml:space="preserve"> limiting FoI rights initially until 30</w:t>
      </w:r>
      <w:r w:rsidR="00BB5EFF" w:rsidRPr="00653EC3">
        <w:rPr>
          <w:vertAlign w:val="superscript"/>
        </w:rPr>
        <w:t>th</w:t>
      </w:r>
      <w:r w:rsidR="00BB5EFF" w:rsidRPr="00F14FB1">
        <w:t xml:space="preserve"> September 2020 but potentially </w:t>
      </w:r>
      <w:r w:rsidR="000343C9" w:rsidRPr="00F14FB1">
        <w:t xml:space="preserve">first </w:t>
      </w:r>
      <w:r w:rsidR="00BB5EFF" w:rsidRPr="00F14FB1">
        <w:t>until</w:t>
      </w:r>
      <w:r w:rsidR="000343C9" w:rsidRPr="00F14FB1">
        <w:t xml:space="preserve"> 31</w:t>
      </w:r>
      <w:r w:rsidR="000343C9" w:rsidRPr="00653EC3">
        <w:rPr>
          <w:vertAlign w:val="superscript"/>
        </w:rPr>
        <w:t>st</w:t>
      </w:r>
      <w:r w:rsidR="000343C9" w:rsidRPr="00F14FB1">
        <w:t xml:space="preserve"> Ma</w:t>
      </w:r>
      <w:r w:rsidR="005155C3">
        <w:t>r</w:t>
      </w:r>
      <w:r w:rsidR="000343C9" w:rsidRPr="00F14FB1">
        <w:t xml:space="preserve">ch and then to </w:t>
      </w:r>
      <w:r w:rsidR="00C22266" w:rsidRPr="00F14FB1">
        <w:t>30</w:t>
      </w:r>
      <w:r w:rsidR="00C22266" w:rsidRPr="00653EC3">
        <w:rPr>
          <w:vertAlign w:val="superscript"/>
        </w:rPr>
        <w:t>th</w:t>
      </w:r>
      <w:r w:rsidR="00C22266" w:rsidRPr="00F14FB1">
        <w:t xml:space="preserve"> September</w:t>
      </w:r>
      <w:r w:rsidR="00BB5EFF" w:rsidRPr="00F14FB1">
        <w:t xml:space="preserve"> 2021. </w:t>
      </w:r>
      <w:r w:rsidR="000343C9" w:rsidRPr="00F14FB1">
        <w:t xml:space="preserve">This coincides with elections to the Scottish Parliament in May 2021 which is often a period of heightened interest for people to make FoI request for ‘official information’ in order to form an opinion. </w:t>
      </w:r>
      <w:r w:rsidR="005A0A9D" w:rsidRPr="00E36AF7">
        <w:rPr>
          <w:b/>
          <w:bCs/>
        </w:rPr>
        <w:t>Request of MSPs:</w:t>
      </w:r>
      <w:r w:rsidR="00447BF3">
        <w:rPr>
          <w:b/>
          <w:bCs/>
        </w:rPr>
        <w:t xml:space="preserve"> </w:t>
      </w:r>
      <w:r w:rsidR="00447BF3" w:rsidRPr="00447BF3">
        <w:t xml:space="preserve">Amend </w:t>
      </w:r>
      <w:r w:rsidR="00F864DB">
        <w:t xml:space="preserve">Part 2, </w:t>
      </w:r>
      <w:r w:rsidRPr="00F14FB1">
        <w:t xml:space="preserve">Clause </w:t>
      </w:r>
      <w:r w:rsidR="002B4099" w:rsidRPr="00F14FB1">
        <w:t>11</w:t>
      </w:r>
      <w:r w:rsidR="00F864DB">
        <w:t xml:space="preserve"> </w:t>
      </w:r>
      <w:r w:rsidR="00447BF3">
        <w:t>to require any changes to FoISA to automatically expire on 30</w:t>
      </w:r>
      <w:r w:rsidR="00447BF3" w:rsidRPr="00447BF3">
        <w:rPr>
          <w:vertAlign w:val="superscript"/>
        </w:rPr>
        <w:t>th</w:t>
      </w:r>
      <w:r w:rsidR="00447BF3">
        <w:t xml:space="preserve"> September 2020.</w:t>
      </w:r>
    </w:p>
    <w:p w14:paraId="186AF95F" w14:textId="191C3B7F" w:rsidR="00026D16" w:rsidRPr="00F14FB1" w:rsidRDefault="00026D16" w:rsidP="00E36AF7">
      <w:pPr>
        <w:pStyle w:val="ListParagraph"/>
        <w:numPr>
          <w:ilvl w:val="0"/>
          <w:numId w:val="9"/>
        </w:numPr>
        <w:ind w:left="709" w:hanging="567"/>
      </w:pPr>
      <w:r w:rsidRPr="00F14FB1">
        <w:t>The Scottish Government is seeking a ‘blank cheque’ power to vary the law and timescales</w:t>
      </w:r>
      <w:r w:rsidR="002B4099" w:rsidRPr="00F14FB1">
        <w:t>.</w:t>
      </w:r>
      <w:r w:rsidRPr="00F14FB1">
        <w:t xml:space="preserve"> </w:t>
      </w:r>
      <w:r w:rsidR="00BB5EFF" w:rsidRPr="00F14FB1">
        <w:t xml:space="preserve"> </w:t>
      </w:r>
      <w:r w:rsidR="005A0A9D" w:rsidRPr="00E36AF7">
        <w:rPr>
          <w:b/>
          <w:bCs/>
        </w:rPr>
        <w:t>Request of MSPs:</w:t>
      </w:r>
      <w:r w:rsidR="005A0A9D">
        <w:rPr>
          <w:b/>
          <w:bCs/>
        </w:rPr>
        <w:t xml:space="preserve"> </w:t>
      </w:r>
      <w:r w:rsidR="005A0A9D" w:rsidRPr="005A0A9D">
        <w:t xml:space="preserve">Amend </w:t>
      </w:r>
      <w:r w:rsidR="00F864DB">
        <w:t xml:space="preserve">Part 2 </w:t>
      </w:r>
      <w:r w:rsidR="000343C9" w:rsidRPr="00F14FB1">
        <w:t>Clauses 11-1</w:t>
      </w:r>
      <w:r w:rsidR="002B4099" w:rsidRPr="00F14FB1">
        <w:t>5</w:t>
      </w:r>
      <w:r w:rsidR="000343C9" w:rsidRPr="00F14FB1">
        <w:t>.</w:t>
      </w:r>
    </w:p>
    <w:p w14:paraId="2C754989" w14:textId="58DB4708" w:rsidR="00C22266" w:rsidRDefault="00C22266" w:rsidP="00E36AF7">
      <w:pPr>
        <w:pStyle w:val="ListParagraph"/>
        <w:numPr>
          <w:ilvl w:val="0"/>
          <w:numId w:val="9"/>
        </w:numPr>
        <w:ind w:left="709" w:hanging="567"/>
      </w:pPr>
      <w:r w:rsidRPr="00F14FB1">
        <w:t xml:space="preserve">The legal change will impact on current requests for information that are outstanding as although the Bill comes into force the day after Royal Assent,  ‘Scottish Ministers may by regulations make transitional, transitory or saving provision in connection with the coming into force of any provision of this Act’. </w:t>
      </w:r>
      <w:r w:rsidR="005A0A9D" w:rsidRPr="00E36AF7">
        <w:rPr>
          <w:b/>
          <w:bCs/>
        </w:rPr>
        <w:t>Request of MSPs:</w:t>
      </w:r>
      <w:r w:rsidR="005A0A9D">
        <w:rPr>
          <w:b/>
          <w:bCs/>
        </w:rPr>
        <w:t xml:space="preserve">  </w:t>
      </w:r>
      <w:r w:rsidR="005A0A9D" w:rsidRPr="005A0A9D">
        <w:t>Please</w:t>
      </w:r>
      <w:r w:rsidR="00F864DB">
        <w:t xml:space="preserve"> clarify that this is a retrospective amendment and </w:t>
      </w:r>
      <w:r w:rsidR="00F864DB" w:rsidRPr="005A0A9D">
        <w:t>amend</w:t>
      </w:r>
      <w:r w:rsidR="005A0A9D">
        <w:rPr>
          <w:b/>
          <w:bCs/>
        </w:rPr>
        <w:t xml:space="preserve"> </w:t>
      </w:r>
      <w:r w:rsidR="00F864DB" w:rsidRPr="00F864DB">
        <w:t>Part 2</w:t>
      </w:r>
      <w:r w:rsidR="00F864DB">
        <w:rPr>
          <w:b/>
          <w:bCs/>
        </w:rPr>
        <w:t xml:space="preserve"> </w:t>
      </w:r>
      <w:r w:rsidRPr="00F14FB1">
        <w:t>Clause 16(3)</w:t>
      </w:r>
      <w:r w:rsidR="00F864DB">
        <w:t xml:space="preserve"> so that current FoI requests are dealt with under the rules operating when the information request was made</w:t>
      </w:r>
      <w:r w:rsidRPr="00F14FB1">
        <w:t>.</w:t>
      </w:r>
    </w:p>
    <w:p w14:paraId="4D909CDD" w14:textId="07545161" w:rsidR="00507CA7" w:rsidRPr="00211D67" w:rsidRDefault="00507CA7" w:rsidP="00E36AF7">
      <w:pPr>
        <w:pStyle w:val="ListParagraph"/>
        <w:numPr>
          <w:ilvl w:val="0"/>
          <w:numId w:val="9"/>
        </w:numPr>
        <w:ind w:left="709" w:hanging="567"/>
      </w:pPr>
      <w:r>
        <w:t xml:space="preserve">The speed of </w:t>
      </w:r>
      <w:r w:rsidR="006B79FE">
        <w:t xml:space="preserve">the process denies proper scrutiny and informed commentary: to publish a </w:t>
      </w:r>
      <w:r w:rsidR="00F226E3">
        <w:t>72-page</w:t>
      </w:r>
      <w:r w:rsidR="006B79FE">
        <w:t xml:space="preserve"> Bill one day covering a wide range of topics</w:t>
      </w:r>
      <w:r w:rsidR="005A0A9D">
        <w:t>, accompanied by an 82 page ‘Policy Memorandum’ plus other documents</w:t>
      </w:r>
      <w:r w:rsidR="006B79FE">
        <w:t xml:space="preserve"> and expecting it to be passed the next day is unreasonable.  Journalists, NGOs and the public can make this Bill better if they are given the opportunity to </w:t>
      </w:r>
      <w:r w:rsidR="006B79FE">
        <w:lastRenderedPageBreak/>
        <w:t>influence.</w:t>
      </w:r>
      <w:r w:rsidR="005A0A9D">
        <w:t xml:space="preserve">  </w:t>
      </w:r>
      <w:r w:rsidR="005A0A9D" w:rsidRPr="00E36AF7">
        <w:rPr>
          <w:b/>
          <w:bCs/>
        </w:rPr>
        <w:t>Request of MSPs:</w:t>
      </w:r>
      <w:r w:rsidR="005A0A9D">
        <w:rPr>
          <w:b/>
          <w:bCs/>
        </w:rPr>
        <w:t xml:space="preserve"> </w:t>
      </w:r>
      <w:r w:rsidR="005A0A9D" w:rsidRPr="005A0A9D">
        <w:t>amend the Bill so</w:t>
      </w:r>
      <w:r w:rsidR="005A0A9D">
        <w:rPr>
          <w:b/>
          <w:bCs/>
        </w:rPr>
        <w:t xml:space="preserve"> </w:t>
      </w:r>
      <w:r w:rsidR="005A0A9D" w:rsidRPr="005A0A9D">
        <w:t>that the provisions relating to amending FoISA are delayed</w:t>
      </w:r>
      <w:r w:rsidR="00447BF3">
        <w:t xml:space="preserve"> by 7 working days</w:t>
      </w:r>
      <w:r w:rsidR="005A0A9D">
        <w:rPr>
          <w:b/>
          <w:bCs/>
        </w:rPr>
        <w:t>.</w:t>
      </w:r>
    </w:p>
    <w:p w14:paraId="48C29F13" w14:textId="0B8C683B" w:rsidR="00211D67" w:rsidRPr="00211D67" w:rsidRDefault="00211D67" w:rsidP="007C369A">
      <w:pPr>
        <w:pStyle w:val="ListParagraph"/>
        <w:numPr>
          <w:ilvl w:val="0"/>
          <w:numId w:val="9"/>
        </w:numPr>
        <w:ind w:left="709" w:hanging="567"/>
      </w:pPr>
      <w:r>
        <w:t xml:space="preserve">The impact of the Bill is to establish a system of response times and review that confuse and to introduce to the rights framework a series of hurdles over which the requestor has virtually no control.  </w:t>
      </w:r>
      <w:r w:rsidRPr="00E36AF7">
        <w:rPr>
          <w:b/>
          <w:bCs/>
        </w:rPr>
        <w:t>Request of MSPs:</w:t>
      </w:r>
      <w:r>
        <w:rPr>
          <w:b/>
          <w:bCs/>
        </w:rPr>
        <w:t xml:space="preserve"> </w:t>
      </w:r>
      <w:r w:rsidRPr="00211D67">
        <w:t xml:space="preserve">Amend the Bill to </w:t>
      </w:r>
      <w:r>
        <w:t xml:space="preserve">maintain </w:t>
      </w:r>
      <w:r w:rsidRPr="00211D67">
        <w:t>a clear and accessible way to</w:t>
      </w:r>
      <w:r>
        <w:t xml:space="preserve"> </w:t>
      </w:r>
      <w:r w:rsidR="00651572">
        <w:t xml:space="preserve">have </w:t>
      </w:r>
      <w:r>
        <w:t xml:space="preserve">information requests </w:t>
      </w:r>
      <w:r w:rsidR="00651572">
        <w:t xml:space="preserve">considered timeously </w:t>
      </w:r>
      <w:r>
        <w:t>and to</w:t>
      </w:r>
      <w:r w:rsidRPr="00211D67">
        <w:t xml:space="preserve"> receive information in a timely manner.</w:t>
      </w:r>
      <w:r>
        <w:t xml:space="preserve">  Long delays can make information less useful and reduce transparency and accountability.</w:t>
      </w:r>
    </w:p>
    <w:p w14:paraId="1C3125D1" w14:textId="37752C00" w:rsidR="000924B7" w:rsidRDefault="000924B7" w:rsidP="00846349"/>
    <w:p w14:paraId="086C8008" w14:textId="1DF4AB97" w:rsidR="00A804A0" w:rsidRDefault="00A804A0" w:rsidP="00A804A0">
      <w:pPr>
        <w:tabs>
          <w:tab w:val="num" w:pos="720"/>
        </w:tabs>
        <w:rPr>
          <w:b/>
          <w:bCs/>
        </w:rPr>
      </w:pPr>
      <w:r w:rsidRPr="00A804A0">
        <w:rPr>
          <w:b/>
          <w:bCs/>
        </w:rPr>
        <w:t xml:space="preserve">Human Rights </w:t>
      </w:r>
    </w:p>
    <w:p w14:paraId="28A04232" w14:textId="76ECC2FF" w:rsidR="003343DC" w:rsidRDefault="005A0A9D" w:rsidP="005A0A9D">
      <w:pPr>
        <w:tabs>
          <w:tab w:val="num" w:pos="720"/>
        </w:tabs>
      </w:pPr>
      <w:r>
        <w:t>CFoIS disagrees with the Scottish Government’s assertion that ‘no detrimental effects’ on human rights are ‘anticipated’.</w:t>
      </w:r>
      <w:r w:rsidR="003343DC">
        <w:rPr>
          <w:rStyle w:val="EndnoteReference"/>
        </w:rPr>
        <w:endnoteReference w:id="7"/>
      </w:r>
      <w:r w:rsidR="003343DC">
        <w:t xml:space="preserve">   </w:t>
      </w:r>
      <w:r w:rsidR="003343DC" w:rsidRPr="00A804A0">
        <w:t xml:space="preserve">Article 10 of </w:t>
      </w:r>
      <w:r w:rsidR="003343DC" w:rsidRPr="00F864DB">
        <w:t>the ECHR</w:t>
      </w:r>
      <w:r w:rsidR="003343DC">
        <w:t xml:space="preserve"> </w:t>
      </w:r>
      <w:r w:rsidR="003343DC" w:rsidRPr="00A804A0">
        <w:t>has been ruled to</w:t>
      </w:r>
      <w:r w:rsidR="003343DC">
        <w:rPr>
          <w:b/>
          <w:bCs/>
        </w:rPr>
        <w:t xml:space="preserve"> </w:t>
      </w:r>
      <w:r w:rsidR="003343DC">
        <w:t>give the right to information in order to form an opinion.</w:t>
      </w:r>
      <w:r w:rsidR="003343DC">
        <w:rPr>
          <w:rStyle w:val="EndnoteReference"/>
        </w:rPr>
        <w:endnoteReference w:id="8"/>
      </w:r>
      <w:r w:rsidR="003343DC" w:rsidRPr="00A804A0">
        <w:t xml:space="preserve"> </w:t>
      </w:r>
      <w:r w:rsidR="003343DC">
        <w:t xml:space="preserve">The cases have related </w:t>
      </w:r>
      <w:r w:rsidR="003343DC" w:rsidRPr="00A804A0">
        <w:t>to</w:t>
      </w:r>
      <w:r w:rsidR="003343DC">
        <w:t xml:space="preserve"> requests for information which are in the public interest and that is established by examining</w:t>
      </w:r>
      <w:r w:rsidR="003343DC" w:rsidRPr="00A804A0">
        <w:t>: the purpose of the information request;</w:t>
      </w:r>
      <w:r w:rsidR="003343DC">
        <w:t xml:space="preserve"> </w:t>
      </w:r>
      <w:r w:rsidR="003343DC" w:rsidRPr="00A804A0">
        <w:t>the nature of the information sought</w:t>
      </w:r>
      <w:r w:rsidR="003343DC">
        <w:t>;</w:t>
      </w:r>
      <w:r w:rsidR="003343DC" w:rsidRPr="00A804A0">
        <w:t> the particular role of the seeker of the information in “receiving and imparting” it to the public; and whether the information was ready and available</w:t>
      </w:r>
      <w:r w:rsidR="003343DC">
        <w:t xml:space="preserve">. Such criteria can be adopted when prioritising answers to existing FoI requests in Scotland. </w:t>
      </w:r>
    </w:p>
    <w:p w14:paraId="61436E0B" w14:textId="5015A80A" w:rsidR="003343DC" w:rsidRDefault="003343DC" w:rsidP="00A804A0"/>
    <w:p w14:paraId="43AC90BA" w14:textId="611E1DA5" w:rsidR="003343DC" w:rsidRDefault="003343DC" w:rsidP="00A804A0">
      <w:r>
        <w:t>The Human Rights Act 1998 places duties on those delivering public services and services of a public nature to comply with the ECHR.  In addition, the Scotland Act 1998 places duties on public authorities and Scottish Government Ministers to comply with human rights law including UN treaties which the UK has ratified. Compliance is subject to periodic review by the UN and that process is currently underway on the International Covenant on Civil and Political Rights (ICCPR).  Article 19 of the UN ICCPR sets out the right and the freedom to seek, receive and impart information and ideas …’</w:t>
      </w:r>
      <w:r>
        <w:rPr>
          <w:rStyle w:val="EndnoteReference"/>
        </w:rPr>
        <w:endnoteReference w:id="9"/>
      </w:r>
      <w:r>
        <w:t xml:space="preserve">.  </w:t>
      </w:r>
      <w:r w:rsidRPr="000613B0">
        <w:t>In General Comment 34</w:t>
      </w:r>
      <w:r>
        <w:t xml:space="preserve"> on Article 19 ‘p</w:t>
      </w:r>
      <w:r w:rsidRPr="009051A8">
        <w:t>ublic bodies</w:t>
      </w:r>
      <w:r>
        <w:t>’ are broadly defined.</w:t>
      </w:r>
      <w:r>
        <w:rPr>
          <w:rStyle w:val="EndnoteReference"/>
        </w:rPr>
        <w:endnoteReference w:id="10"/>
      </w:r>
      <w:r>
        <w:t xml:space="preserve">   CFoIS has submitted evidence to the UN Human Rights Committee to assist its scrutiny of Scotland’s compliance with Article 19 and the scheduled meeting to agree the ‘List of Issues Prior to Reporting’ (LOIPR) was scheduled for 24</w:t>
      </w:r>
      <w:r w:rsidRPr="00390201">
        <w:rPr>
          <w:vertAlign w:val="superscript"/>
        </w:rPr>
        <w:t>th</w:t>
      </w:r>
      <w:r>
        <w:t xml:space="preserve"> March but that has understandably been postponed.</w:t>
      </w:r>
      <w:r>
        <w:rPr>
          <w:rStyle w:val="EndnoteReference"/>
        </w:rPr>
        <w:endnoteReference w:id="11"/>
      </w:r>
    </w:p>
    <w:p w14:paraId="06B53E1E" w14:textId="721CBB5E" w:rsidR="005A0A9D" w:rsidRDefault="005A0A9D" w:rsidP="00A804A0"/>
    <w:p w14:paraId="0CF50E99" w14:textId="3A33E316" w:rsidR="000924B7" w:rsidRPr="000924B7" w:rsidRDefault="000924B7" w:rsidP="00846349">
      <w:pPr>
        <w:rPr>
          <w:b/>
          <w:bCs/>
        </w:rPr>
      </w:pPr>
      <w:r w:rsidRPr="000924B7">
        <w:rPr>
          <w:b/>
          <w:bCs/>
        </w:rPr>
        <w:t>Conclusion</w:t>
      </w:r>
    </w:p>
    <w:p w14:paraId="212C3A9F" w14:textId="41CAD101" w:rsidR="005A0A9D" w:rsidRDefault="00846349" w:rsidP="00846349">
      <w:r>
        <w:t xml:space="preserve">CFoIS </w:t>
      </w:r>
      <w:r w:rsidR="007B40C0">
        <w:t xml:space="preserve">realises </w:t>
      </w:r>
      <w:r>
        <w:t>that all requests should still be dealt with ‘promptly’</w:t>
      </w:r>
      <w:r w:rsidR="00651572">
        <w:t xml:space="preserve"> under FoISA</w:t>
      </w:r>
      <w:r>
        <w:t>, but that has proven impossible to enforce</w:t>
      </w:r>
      <w:r w:rsidR="008F4502">
        <w:t xml:space="preserve"> even before the pandemic emergency,</w:t>
      </w:r>
      <w:r>
        <w:t xml:space="preserve"> which is just one of the many reasons to reform FoISA.</w:t>
      </w:r>
      <w:r w:rsidR="003E00BD">
        <w:t xml:space="preserve">  CFoIS recognises that the rights and duties within </w:t>
      </w:r>
      <w:r w:rsidR="000924B7">
        <w:t>T</w:t>
      </w:r>
      <w:r w:rsidR="003E00BD" w:rsidRPr="004A43FA">
        <w:t>he Environmental Information (Scotland) Regulations 2004’ (EIR(S)s)</w:t>
      </w:r>
      <w:r w:rsidR="003E00BD">
        <w:t xml:space="preserve"> must still be adhered to and the effect will be to create two tiers of access: ready access to environmental information and slow access to everything else.  This creates unfairness.</w:t>
      </w:r>
    </w:p>
    <w:p w14:paraId="1F608264" w14:textId="2FCE9C20" w:rsidR="00846349" w:rsidRDefault="00846349" w:rsidP="00846349"/>
    <w:p w14:paraId="24483452" w14:textId="2120D8D3" w:rsidR="00D4264F" w:rsidRPr="00D4264F" w:rsidRDefault="00D4264F" w:rsidP="00846349">
      <w:pPr>
        <w:rPr>
          <w:b/>
          <w:bCs/>
        </w:rPr>
      </w:pPr>
      <w:r w:rsidRPr="00D4264F">
        <w:rPr>
          <w:b/>
          <w:bCs/>
        </w:rPr>
        <w:t>About CFoIS</w:t>
      </w:r>
    </w:p>
    <w:p w14:paraId="4897B47D" w14:textId="0F694D2B" w:rsidR="003E00BD" w:rsidRDefault="00D4264F" w:rsidP="003E00BD">
      <w:pPr>
        <w:rPr>
          <w:rFonts w:eastAsia="Times New Roman"/>
          <w:noProof/>
          <w:lang w:eastAsia="en-GB"/>
        </w:rPr>
      </w:pPr>
      <w:r>
        <w:t xml:space="preserve">The Campaign for Freedom of Information in Scotland (CFoIS) was established in 1984 to improve public access to official information, to secure legal right to access information and to enforce that right.  The initiative came from the Scottish Consumer Council.  </w:t>
      </w:r>
      <w:r w:rsidR="008F4502">
        <w:t>W</w:t>
      </w:r>
      <w:r>
        <w:t>e believe in the right of people to find out about how they are governed and how their services are delivered</w:t>
      </w:r>
      <w:r w:rsidR="008F4502">
        <w:t xml:space="preserve">. </w:t>
      </w:r>
      <w:r w:rsidR="003E00BD" w:rsidRPr="000924B7">
        <w:rPr>
          <w:b/>
          <w:bCs/>
        </w:rPr>
        <w:t>For further information contact:</w:t>
      </w:r>
      <w:r w:rsidR="00A171D3">
        <w:rPr>
          <w:b/>
          <w:bCs/>
        </w:rPr>
        <w:t xml:space="preserve"> </w:t>
      </w:r>
      <w:bookmarkStart w:id="0" w:name="_MailAutoSig"/>
      <w:r w:rsidR="003E00BD">
        <w:rPr>
          <w:rFonts w:eastAsia="Times New Roman"/>
          <w:noProof/>
          <w:lang w:eastAsia="en-GB"/>
        </w:rPr>
        <w:t>Carole Ewart</w:t>
      </w:r>
      <w:r w:rsidR="00390201">
        <w:rPr>
          <w:rFonts w:eastAsia="Times New Roman"/>
          <w:noProof/>
          <w:lang w:eastAsia="en-GB"/>
        </w:rPr>
        <w:t xml:space="preserve">, CFoIS </w:t>
      </w:r>
      <w:r w:rsidR="003E00BD">
        <w:rPr>
          <w:rFonts w:eastAsia="Times New Roman"/>
          <w:noProof/>
          <w:lang w:eastAsia="en-GB"/>
        </w:rPr>
        <w:t>Convener,</w:t>
      </w:r>
      <w:r w:rsidR="00390201">
        <w:rPr>
          <w:rFonts w:eastAsia="Times New Roman"/>
          <w:noProof/>
          <w:lang w:eastAsia="en-GB"/>
        </w:rPr>
        <w:t xml:space="preserve"> </w:t>
      </w:r>
      <w:r w:rsidR="000924B7">
        <w:rPr>
          <w:rFonts w:eastAsiaTheme="minorEastAsia"/>
          <w:noProof/>
          <w:lang w:eastAsia="en-GB"/>
        </w:rPr>
        <w:t xml:space="preserve"> </w:t>
      </w:r>
      <w:bookmarkStart w:id="1" w:name="_Hlk27656373"/>
      <w:bookmarkStart w:id="2" w:name="_GoBack"/>
      <w:r w:rsidR="003E00BD">
        <w:fldChar w:fldCharType="begin"/>
      </w:r>
      <w:r w:rsidR="003E00BD">
        <w:instrText xml:space="preserve"> HYPERLINK "http://www.cfois.scot/" </w:instrText>
      </w:r>
      <w:r w:rsidR="003E00BD">
        <w:fldChar w:fldCharType="separate"/>
      </w:r>
      <w:r w:rsidR="003E00BD">
        <w:rPr>
          <w:rStyle w:val="Hyperlink"/>
          <w:rFonts w:eastAsia="Times New Roman"/>
          <w:noProof/>
          <w:lang w:eastAsia="en-GB"/>
        </w:rPr>
        <w:t>www.cfois.scot/</w:t>
      </w:r>
      <w:r w:rsidR="003E00BD">
        <w:fldChar w:fldCharType="end"/>
      </w:r>
      <w:bookmarkEnd w:id="2"/>
      <w:r w:rsidR="003E00BD">
        <w:rPr>
          <w:rFonts w:eastAsia="Times New Roman"/>
          <w:noProof/>
          <w:lang w:eastAsia="en-GB"/>
        </w:rPr>
        <w:t xml:space="preserve">  </w:t>
      </w:r>
      <w:hyperlink r:id="rId9" w:history="1">
        <w:r w:rsidR="003E00BD">
          <w:rPr>
            <w:rStyle w:val="Hyperlink"/>
            <w:rFonts w:eastAsia="Times New Roman"/>
            <w:noProof/>
            <w:lang w:eastAsia="en-GB"/>
          </w:rPr>
          <w:t>info@cfois.scot</w:t>
        </w:r>
      </w:hyperlink>
      <w:r w:rsidR="003E00BD">
        <w:rPr>
          <w:rFonts w:eastAsia="Times New Roman"/>
          <w:noProof/>
          <w:lang w:eastAsia="en-GB"/>
        </w:rPr>
        <w:t xml:space="preserve"> @CFoIScot</w:t>
      </w:r>
      <w:bookmarkEnd w:id="0"/>
      <w:bookmarkEnd w:id="1"/>
      <w:r w:rsidR="000924B7">
        <w:rPr>
          <w:rFonts w:eastAsia="Times New Roman"/>
          <w:noProof/>
          <w:lang w:eastAsia="en-GB"/>
        </w:rPr>
        <w:t xml:space="preserve"> </w:t>
      </w:r>
    </w:p>
    <w:sectPr w:rsidR="003E00B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C3396" w14:textId="77777777" w:rsidR="00D71FA1" w:rsidRDefault="00D71FA1" w:rsidP="00C84B49">
      <w:r>
        <w:separator/>
      </w:r>
    </w:p>
  </w:endnote>
  <w:endnote w:type="continuationSeparator" w:id="0">
    <w:p w14:paraId="2935A990" w14:textId="77777777" w:rsidR="00D71FA1" w:rsidRDefault="00D71FA1" w:rsidP="00C84B49">
      <w:r>
        <w:continuationSeparator/>
      </w:r>
    </w:p>
  </w:endnote>
  <w:endnote w:id="1">
    <w:p w14:paraId="31F62D31" w14:textId="2CC6817F" w:rsidR="003343DC" w:rsidRDefault="003343DC">
      <w:pPr>
        <w:pStyle w:val="EndnoteText"/>
      </w:pPr>
      <w:r>
        <w:rPr>
          <w:rStyle w:val="EndnoteReference"/>
        </w:rPr>
        <w:endnoteRef/>
      </w:r>
      <w:r>
        <w:t xml:space="preserve"> </w:t>
      </w:r>
      <w:hyperlink r:id="rId1" w:history="1">
        <w:r w:rsidRPr="00C84B49">
          <w:rPr>
            <w:rStyle w:val="Hyperlink"/>
          </w:rPr>
          <w:t>https://www.parliament.scot/S5_Bills/Coronavirus%20(Scotland)%20Bill/SPBill66S052020.pdf</w:t>
        </w:r>
      </w:hyperlink>
    </w:p>
  </w:endnote>
  <w:endnote w:id="2">
    <w:p w14:paraId="48FA0F0E" w14:textId="380119F4" w:rsidR="003343DC" w:rsidRDefault="003343DC">
      <w:pPr>
        <w:pStyle w:val="EndnoteText"/>
      </w:pPr>
      <w:r>
        <w:rPr>
          <w:rStyle w:val="EndnoteReference"/>
        </w:rPr>
        <w:endnoteRef/>
      </w:r>
      <w:r>
        <w:t xml:space="preserve"> </w:t>
      </w:r>
      <w:r w:rsidRPr="00A171D3">
        <w:rPr>
          <w:lang w:val="en-US"/>
        </w:rPr>
        <w:t>Scottish Information Commissioner at</w:t>
      </w:r>
      <w:r w:rsidRPr="00A171D3">
        <w:rPr>
          <w:b/>
          <w:bCs/>
          <w:lang w:val="en-US"/>
        </w:rPr>
        <w:t xml:space="preserve"> </w:t>
      </w:r>
      <w:hyperlink r:id="rId2" w:history="1">
        <w:r w:rsidRPr="00A171D3">
          <w:rPr>
            <w:rStyle w:val="Hyperlink"/>
            <w:lang w:val="en-US"/>
          </w:rPr>
          <w:t>http://www.itspublicknowledge.info/home/SICReports/OtherReports/PublicAwarenessResearch2017.aspx</w:t>
        </w:r>
      </w:hyperlink>
    </w:p>
  </w:endnote>
  <w:endnote w:id="3">
    <w:p w14:paraId="28CF06F2" w14:textId="4875E597" w:rsidR="003343DC" w:rsidRDefault="003343DC">
      <w:pPr>
        <w:pStyle w:val="EndnoteText"/>
      </w:pPr>
      <w:r>
        <w:rPr>
          <w:rStyle w:val="EndnoteReference"/>
        </w:rPr>
        <w:endnoteRef/>
      </w:r>
      <w:r>
        <w:t xml:space="preserve"> </w:t>
      </w:r>
      <w:r w:rsidRPr="00D4264F">
        <w:t xml:space="preserve">Scottish Information Commissioner website at </w:t>
      </w:r>
      <w:hyperlink r:id="rId3" w:history="1">
        <w:r w:rsidRPr="00D4264F">
          <w:rPr>
            <w:rStyle w:val="Hyperlink"/>
          </w:rPr>
          <w:t>http://www.itspublicknowledge.info/home/AboutSIC/WhatWeDo/Intervention201702016ScottishGovernment.aspx</w:t>
        </w:r>
      </w:hyperlink>
      <w:r>
        <w:rPr>
          <w:sz w:val="25"/>
          <w:szCs w:val="25"/>
        </w:rPr>
        <w:t xml:space="preserve"> </w:t>
      </w:r>
    </w:p>
  </w:endnote>
  <w:endnote w:id="4">
    <w:p w14:paraId="612175A4" w14:textId="0373F316" w:rsidR="003343DC" w:rsidRDefault="003343DC">
      <w:pPr>
        <w:pStyle w:val="EndnoteText"/>
      </w:pPr>
      <w:r>
        <w:rPr>
          <w:rStyle w:val="EndnoteReference"/>
        </w:rPr>
        <w:endnoteRef/>
      </w:r>
      <w:r>
        <w:t xml:space="preserve"> Annual Report and Accounts 2018/2019 pg. 15 at </w:t>
      </w:r>
      <w:hyperlink r:id="rId4" w:history="1">
        <w:r w:rsidRPr="0087010C">
          <w:rPr>
            <w:rStyle w:val="Hyperlink"/>
          </w:rPr>
          <w:t>http://www.itspublicknowledge.info/home/SICReports/AnnualReports.aspx</w:t>
        </w:r>
      </w:hyperlink>
      <w:r>
        <w:t xml:space="preserve"> </w:t>
      </w:r>
    </w:p>
  </w:endnote>
  <w:endnote w:id="5">
    <w:p w14:paraId="4B05253B" w14:textId="44BCB629" w:rsidR="003343DC" w:rsidRDefault="003343DC">
      <w:pPr>
        <w:pStyle w:val="EndnoteText"/>
      </w:pPr>
      <w:r>
        <w:rPr>
          <w:rStyle w:val="EndnoteReference"/>
        </w:rPr>
        <w:endnoteRef/>
      </w:r>
      <w:r>
        <w:t xml:space="preserve"> The Scottish Government website at </w:t>
      </w:r>
      <w:hyperlink r:id="rId5" w:history="1">
        <w:r w:rsidRPr="0087010C">
          <w:rPr>
            <w:rStyle w:val="Hyperlink"/>
          </w:rPr>
          <w:t>http://www.gov.scot/About/Information/FOI/6principles</w:t>
        </w:r>
      </w:hyperlink>
    </w:p>
  </w:endnote>
  <w:endnote w:id="6">
    <w:p w14:paraId="0E1D8F84" w14:textId="6D34172B" w:rsidR="003343DC" w:rsidRPr="00846349" w:rsidRDefault="003343DC" w:rsidP="005A0A9D">
      <w:r>
        <w:rPr>
          <w:rStyle w:val="EndnoteReference"/>
        </w:rPr>
        <w:endnoteRef/>
      </w:r>
      <w:r>
        <w:t xml:space="preserve"> </w:t>
      </w:r>
      <w:r w:rsidRPr="00846349">
        <w:rPr>
          <w:sz w:val="20"/>
          <w:szCs w:val="20"/>
        </w:rPr>
        <w:t xml:space="preserve">More information at  </w:t>
      </w:r>
      <w:hyperlink r:id="rId6" w:history="1">
        <w:r w:rsidRPr="00846349">
          <w:rPr>
            <w:rStyle w:val="Hyperlink"/>
            <w:color w:val="auto"/>
            <w:sz w:val="20"/>
            <w:szCs w:val="20"/>
          </w:rPr>
          <w:t>https://www.rti-rating.org/country-data/by-indicator/22/</w:t>
        </w:r>
      </w:hyperlink>
      <w:r>
        <w:rPr>
          <w:color w:val="auto"/>
          <w:sz w:val="20"/>
          <w:szCs w:val="20"/>
        </w:rPr>
        <w:t xml:space="preserve"> </w:t>
      </w:r>
    </w:p>
  </w:endnote>
  <w:endnote w:id="7">
    <w:p w14:paraId="2F8FA2AA" w14:textId="1350BA19" w:rsidR="003343DC" w:rsidRDefault="003343DC">
      <w:pPr>
        <w:pStyle w:val="EndnoteText"/>
      </w:pPr>
      <w:r>
        <w:rPr>
          <w:rStyle w:val="EndnoteReference"/>
        </w:rPr>
        <w:endnoteRef/>
      </w:r>
      <w:r>
        <w:t xml:space="preserve"> Policy Memorandum para 361 at </w:t>
      </w:r>
      <w:hyperlink r:id="rId7" w:history="1">
        <w:r w:rsidRPr="0087010C">
          <w:rPr>
            <w:rStyle w:val="Hyperlink"/>
          </w:rPr>
          <w:t>https://www.parliament.scot/parliamentarybusiness/Bills/114929.aspx</w:t>
        </w:r>
      </w:hyperlink>
      <w:r>
        <w:t xml:space="preserve"> </w:t>
      </w:r>
    </w:p>
  </w:endnote>
  <w:endnote w:id="8">
    <w:p w14:paraId="7D07B28E" w14:textId="0BE29CF2" w:rsidR="003343DC" w:rsidRPr="002A5A0D" w:rsidRDefault="003343DC" w:rsidP="00A804A0">
      <w:pPr>
        <w:autoSpaceDE w:val="0"/>
        <w:autoSpaceDN w:val="0"/>
        <w:adjustRightInd w:val="0"/>
        <w:rPr>
          <w:color w:val="auto"/>
          <w:sz w:val="20"/>
          <w:szCs w:val="20"/>
          <w:lang w:val="en-US"/>
        </w:rPr>
      </w:pPr>
      <w:r>
        <w:rPr>
          <w:rStyle w:val="EndnoteReference"/>
        </w:rPr>
        <w:endnoteRef/>
      </w:r>
      <w:r>
        <w:t xml:space="preserve"> </w:t>
      </w:r>
      <w:r w:rsidRPr="002A5A0D">
        <w:rPr>
          <w:sz w:val="20"/>
          <w:szCs w:val="20"/>
        </w:rPr>
        <w:t>For example</w:t>
      </w:r>
      <w:r>
        <w:rPr>
          <w:sz w:val="20"/>
          <w:szCs w:val="20"/>
        </w:rPr>
        <w:t>,</w:t>
      </w:r>
      <w:r w:rsidRPr="002A5A0D">
        <w:rPr>
          <w:sz w:val="20"/>
          <w:szCs w:val="20"/>
        </w:rPr>
        <w:t xml:space="preserve"> the Grand Chamber decision in the case of </w:t>
      </w:r>
      <w:r w:rsidRPr="002A5A0D">
        <w:rPr>
          <w:color w:val="auto"/>
          <w:sz w:val="20"/>
          <w:szCs w:val="20"/>
          <w:lang w:val="en-US"/>
        </w:rPr>
        <w:t xml:space="preserve">on </w:t>
      </w:r>
      <w:r>
        <w:rPr>
          <w:color w:val="auto"/>
          <w:sz w:val="20"/>
          <w:szCs w:val="20"/>
          <w:lang w:val="en-US"/>
        </w:rPr>
        <w:t>M</w:t>
      </w:r>
      <w:r w:rsidRPr="002A5A0D">
        <w:rPr>
          <w:color w:val="auto"/>
          <w:sz w:val="20"/>
          <w:szCs w:val="20"/>
          <w:lang w:val="en-US"/>
        </w:rPr>
        <w:t xml:space="preserve">agyar </w:t>
      </w:r>
      <w:r>
        <w:rPr>
          <w:color w:val="auto"/>
          <w:sz w:val="20"/>
          <w:szCs w:val="20"/>
          <w:lang w:val="en-US"/>
        </w:rPr>
        <w:t>H</w:t>
      </w:r>
      <w:r w:rsidRPr="002A5A0D">
        <w:rPr>
          <w:color w:val="auto"/>
          <w:sz w:val="20"/>
          <w:szCs w:val="20"/>
          <w:lang w:val="en-US"/>
        </w:rPr>
        <w:t>elsinki</w:t>
      </w:r>
    </w:p>
    <w:p w14:paraId="2B59DE15" w14:textId="568F2FF4" w:rsidR="003343DC" w:rsidRPr="006A676F" w:rsidRDefault="003343DC" w:rsidP="00A804A0">
      <w:pPr>
        <w:pStyle w:val="EndnoteText"/>
      </w:pPr>
      <w:r>
        <w:rPr>
          <w:color w:val="auto"/>
          <w:lang w:val="en-US"/>
        </w:rPr>
        <w:t>B</w:t>
      </w:r>
      <w:r w:rsidRPr="002A5A0D">
        <w:rPr>
          <w:color w:val="auto"/>
          <w:lang w:val="en-US"/>
        </w:rPr>
        <w:t xml:space="preserve">izottság v. </w:t>
      </w:r>
      <w:r>
        <w:rPr>
          <w:color w:val="auto"/>
          <w:lang w:val="en-US"/>
        </w:rPr>
        <w:t>H</w:t>
      </w:r>
      <w:r w:rsidRPr="002A5A0D">
        <w:rPr>
          <w:color w:val="auto"/>
          <w:lang w:val="en-US"/>
        </w:rPr>
        <w:t>ungary</w:t>
      </w:r>
      <w:r>
        <w:rPr>
          <w:color w:val="auto"/>
          <w:lang w:val="en-US"/>
        </w:rPr>
        <w:t xml:space="preserve"> </w:t>
      </w:r>
      <w:r w:rsidRPr="002A5A0D">
        <w:rPr>
          <w:i/>
          <w:iCs/>
          <w:color w:val="auto"/>
          <w:lang w:val="en-US"/>
        </w:rPr>
        <w:t>(</w:t>
      </w:r>
      <w:r w:rsidRPr="002A5A0D">
        <w:rPr>
          <w:color w:val="auto"/>
          <w:lang w:val="en-US"/>
        </w:rPr>
        <w:t>Application no. 18030/11</w:t>
      </w:r>
      <w:r w:rsidRPr="002A5A0D">
        <w:rPr>
          <w:i/>
          <w:iCs/>
          <w:color w:val="auto"/>
          <w:lang w:val="en-US"/>
        </w:rPr>
        <w:t>)</w:t>
      </w:r>
      <w:r>
        <w:rPr>
          <w:color w:val="auto"/>
          <w:lang w:val="en-US"/>
        </w:rPr>
        <w:t xml:space="preserve"> 8</w:t>
      </w:r>
      <w:r w:rsidRPr="00390201">
        <w:rPr>
          <w:color w:val="auto"/>
          <w:vertAlign w:val="superscript"/>
          <w:lang w:val="en-US"/>
        </w:rPr>
        <w:t>th</w:t>
      </w:r>
      <w:r>
        <w:rPr>
          <w:color w:val="auto"/>
          <w:lang w:val="en-US"/>
        </w:rPr>
        <w:t xml:space="preserve"> November 2016 </w:t>
      </w:r>
      <w:hyperlink r:id="rId8" w:history="1">
        <w:r w:rsidRPr="0087010C">
          <w:rPr>
            <w:rStyle w:val="Hyperlink"/>
            <w:lang w:val="en-US"/>
          </w:rPr>
          <w:t>http://hudoc.echr.coe.int/eng?i=001-167828</w:t>
        </w:r>
      </w:hyperlink>
      <w:r>
        <w:rPr>
          <w:color w:val="auto"/>
          <w:lang w:val="en-US"/>
        </w:rPr>
        <w:t xml:space="preserve"> and </w:t>
      </w:r>
      <w:r>
        <w:t>Studio Monitori and Others v. Georgia (applications nos. 44920/09 and 8942/10) 30</w:t>
      </w:r>
      <w:r w:rsidRPr="00C75B27">
        <w:rPr>
          <w:vertAlign w:val="superscript"/>
        </w:rPr>
        <w:t>th</w:t>
      </w:r>
      <w:r>
        <w:t xml:space="preserve"> January 2020 at </w:t>
      </w:r>
      <w:hyperlink r:id="rId9" w:history="1">
        <w:r w:rsidRPr="00160146">
          <w:rPr>
            <w:rStyle w:val="Hyperlink"/>
          </w:rPr>
          <w:t>http://hudoc.echr.coe.int/eng?i=001-200435</w:t>
        </w:r>
      </w:hyperlink>
      <w:r>
        <w:t xml:space="preserve"> </w:t>
      </w:r>
    </w:p>
  </w:endnote>
  <w:endnote w:id="9">
    <w:p w14:paraId="219EE519" w14:textId="77777777" w:rsidR="003343DC" w:rsidRDefault="003343DC" w:rsidP="00A804A0">
      <w:pPr>
        <w:pStyle w:val="EndnoteText"/>
      </w:pPr>
      <w:r>
        <w:rPr>
          <w:rStyle w:val="EndnoteReference"/>
        </w:rPr>
        <w:endnoteRef/>
      </w:r>
      <w:r>
        <w:t xml:space="preserve"> Treaty available at </w:t>
      </w:r>
      <w:hyperlink r:id="rId10" w:history="1">
        <w:r w:rsidRPr="00D86352">
          <w:rPr>
            <w:rStyle w:val="Hyperlink"/>
          </w:rPr>
          <w:t>https://www.ohchr.org/en/professionalinterest/pages/ccpr.aspx</w:t>
        </w:r>
      </w:hyperlink>
      <w:r>
        <w:t xml:space="preserve"> </w:t>
      </w:r>
    </w:p>
  </w:endnote>
  <w:endnote w:id="10">
    <w:p w14:paraId="67C7A355" w14:textId="77777777" w:rsidR="003343DC" w:rsidRDefault="003343DC" w:rsidP="00A804A0">
      <w:pPr>
        <w:pStyle w:val="EndnoteText"/>
      </w:pPr>
      <w:r>
        <w:rPr>
          <w:rStyle w:val="EndnoteReference"/>
        </w:rPr>
        <w:endnoteRef/>
      </w:r>
      <w:r>
        <w:t xml:space="preserve"> </w:t>
      </w:r>
      <w:r w:rsidRPr="00DC4F76">
        <w:rPr>
          <w:bCs/>
        </w:rPr>
        <w:t>‘General comment No. 34 on Article 19: Freedoms of opinion and expression’</w:t>
      </w:r>
      <w:r>
        <w:rPr>
          <w:bCs/>
        </w:rPr>
        <w:t>,</w:t>
      </w:r>
      <w:r w:rsidRPr="00DC4F76">
        <w:rPr>
          <w:bCs/>
        </w:rPr>
        <w:t xml:space="preserve"> 2011 </w:t>
      </w:r>
      <w:hyperlink r:id="rId11" w:history="1">
        <w:r w:rsidRPr="00D86352">
          <w:rPr>
            <w:rStyle w:val="Hyperlink"/>
            <w:bCs/>
          </w:rPr>
          <w:t>https://tbinternet.ohchr.org/_layouts/15/treatybodyexternal/Download.aspx?symbolno=CCPR%2fC%2fGC%2f34&amp;Lang=en</w:t>
        </w:r>
      </w:hyperlink>
    </w:p>
  </w:endnote>
  <w:endnote w:id="11">
    <w:p w14:paraId="138A9A4D" w14:textId="0A435D21" w:rsidR="003343DC" w:rsidRDefault="003343DC">
      <w:pPr>
        <w:pStyle w:val="EndnoteText"/>
      </w:pPr>
      <w:r>
        <w:rPr>
          <w:rStyle w:val="EndnoteReference"/>
        </w:rPr>
        <w:endnoteRef/>
      </w:r>
      <w:r>
        <w:t xml:space="preserve"> CFoIS website at </w:t>
      </w:r>
      <w:hyperlink r:id="rId12" w:history="1">
        <w:r w:rsidRPr="0087010C">
          <w:rPr>
            <w:rStyle w:val="Hyperlink"/>
          </w:rPr>
          <w:t>https://www.cfois.scot/wp-content/uploads/2020/01/CFoIS-ICCPR-Final-Jan-2020.pdf</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2876174"/>
      <w:docPartObj>
        <w:docPartGallery w:val="Page Numbers (Bottom of Page)"/>
        <w:docPartUnique/>
      </w:docPartObj>
    </w:sdtPr>
    <w:sdtEndPr>
      <w:rPr>
        <w:noProof/>
      </w:rPr>
    </w:sdtEndPr>
    <w:sdtContent>
      <w:p w14:paraId="336607D1" w14:textId="6EA7DCD7" w:rsidR="00A804A0" w:rsidRDefault="00A804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E359C6" w14:textId="77777777" w:rsidR="00A804A0" w:rsidRDefault="00A80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06E60" w14:textId="77777777" w:rsidR="00D71FA1" w:rsidRDefault="00D71FA1" w:rsidP="00C84B49">
      <w:r>
        <w:separator/>
      </w:r>
    </w:p>
  </w:footnote>
  <w:footnote w:type="continuationSeparator" w:id="0">
    <w:p w14:paraId="5CC0D0D1" w14:textId="77777777" w:rsidR="00D71FA1" w:rsidRDefault="00D71FA1" w:rsidP="00C84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4130"/>
    <w:multiLevelType w:val="hybridMultilevel"/>
    <w:tmpl w:val="23B06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9C70A4"/>
    <w:multiLevelType w:val="hybridMultilevel"/>
    <w:tmpl w:val="19A05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B6B8D"/>
    <w:multiLevelType w:val="hybridMultilevel"/>
    <w:tmpl w:val="A194253E"/>
    <w:lvl w:ilvl="0" w:tplc="1CEE1E08">
      <w:start w:val="1"/>
      <w:numFmt w:val="bullet"/>
      <w:lvlText w:val="•"/>
      <w:lvlJc w:val="left"/>
      <w:pPr>
        <w:tabs>
          <w:tab w:val="num" w:pos="720"/>
        </w:tabs>
        <w:ind w:left="720" w:hanging="360"/>
      </w:pPr>
      <w:rPr>
        <w:rFonts w:ascii="Times New Roman" w:hAnsi="Times New Roman" w:hint="default"/>
      </w:rPr>
    </w:lvl>
    <w:lvl w:ilvl="1" w:tplc="5ABA2962" w:tentative="1">
      <w:start w:val="1"/>
      <w:numFmt w:val="bullet"/>
      <w:lvlText w:val="•"/>
      <w:lvlJc w:val="left"/>
      <w:pPr>
        <w:tabs>
          <w:tab w:val="num" w:pos="1440"/>
        </w:tabs>
        <w:ind w:left="1440" w:hanging="360"/>
      </w:pPr>
      <w:rPr>
        <w:rFonts w:ascii="Times New Roman" w:hAnsi="Times New Roman" w:hint="default"/>
      </w:rPr>
    </w:lvl>
    <w:lvl w:ilvl="2" w:tplc="E1784156" w:tentative="1">
      <w:start w:val="1"/>
      <w:numFmt w:val="bullet"/>
      <w:lvlText w:val="•"/>
      <w:lvlJc w:val="left"/>
      <w:pPr>
        <w:tabs>
          <w:tab w:val="num" w:pos="2160"/>
        </w:tabs>
        <w:ind w:left="2160" w:hanging="360"/>
      </w:pPr>
      <w:rPr>
        <w:rFonts w:ascii="Times New Roman" w:hAnsi="Times New Roman" w:hint="default"/>
      </w:rPr>
    </w:lvl>
    <w:lvl w:ilvl="3" w:tplc="F5E4C9E2" w:tentative="1">
      <w:start w:val="1"/>
      <w:numFmt w:val="bullet"/>
      <w:lvlText w:val="•"/>
      <w:lvlJc w:val="left"/>
      <w:pPr>
        <w:tabs>
          <w:tab w:val="num" w:pos="2880"/>
        </w:tabs>
        <w:ind w:left="2880" w:hanging="360"/>
      </w:pPr>
      <w:rPr>
        <w:rFonts w:ascii="Times New Roman" w:hAnsi="Times New Roman" w:hint="default"/>
      </w:rPr>
    </w:lvl>
    <w:lvl w:ilvl="4" w:tplc="7B46BDAA" w:tentative="1">
      <w:start w:val="1"/>
      <w:numFmt w:val="bullet"/>
      <w:lvlText w:val="•"/>
      <w:lvlJc w:val="left"/>
      <w:pPr>
        <w:tabs>
          <w:tab w:val="num" w:pos="3600"/>
        </w:tabs>
        <w:ind w:left="3600" w:hanging="360"/>
      </w:pPr>
      <w:rPr>
        <w:rFonts w:ascii="Times New Roman" w:hAnsi="Times New Roman" w:hint="default"/>
      </w:rPr>
    </w:lvl>
    <w:lvl w:ilvl="5" w:tplc="B094C92C" w:tentative="1">
      <w:start w:val="1"/>
      <w:numFmt w:val="bullet"/>
      <w:lvlText w:val="•"/>
      <w:lvlJc w:val="left"/>
      <w:pPr>
        <w:tabs>
          <w:tab w:val="num" w:pos="4320"/>
        </w:tabs>
        <w:ind w:left="4320" w:hanging="360"/>
      </w:pPr>
      <w:rPr>
        <w:rFonts w:ascii="Times New Roman" w:hAnsi="Times New Roman" w:hint="default"/>
      </w:rPr>
    </w:lvl>
    <w:lvl w:ilvl="6" w:tplc="32DEF27E" w:tentative="1">
      <w:start w:val="1"/>
      <w:numFmt w:val="bullet"/>
      <w:lvlText w:val="•"/>
      <w:lvlJc w:val="left"/>
      <w:pPr>
        <w:tabs>
          <w:tab w:val="num" w:pos="5040"/>
        </w:tabs>
        <w:ind w:left="5040" w:hanging="360"/>
      </w:pPr>
      <w:rPr>
        <w:rFonts w:ascii="Times New Roman" w:hAnsi="Times New Roman" w:hint="default"/>
      </w:rPr>
    </w:lvl>
    <w:lvl w:ilvl="7" w:tplc="8152CF4E" w:tentative="1">
      <w:start w:val="1"/>
      <w:numFmt w:val="bullet"/>
      <w:lvlText w:val="•"/>
      <w:lvlJc w:val="left"/>
      <w:pPr>
        <w:tabs>
          <w:tab w:val="num" w:pos="5760"/>
        </w:tabs>
        <w:ind w:left="5760" w:hanging="360"/>
      </w:pPr>
      <w:rPr>
        <w:rFonts w:ascii="Times New Roman" w:hAnsi="Times New Roman" w:hint="default"/>
      </w:rPr>
    </w:lvl>
    <w:lvl w:ilvl="8" w:tplc="6FF22A4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2B30D71"/>
    <w:multiLevelType w:val="hybridMultilevel"/>
    <w:tmpl w:val="B87033D0"/>
    <w:lvl w:ilvl="0" w:tplc="05141398">
      <w:start w:val="1"/>
      <w:numFmt w:val="bullet"/>
      <w:lvlText w:val="•"/>
      <w:lvlJc w:val="left"/>
      <w:pPr>
        <w:tabs>
          <w:tab w:val="num" w:pos="720"/>
        </w:tabs>
        <w:ind w:left="720" w:hanging="360"/>
      </w:pPr>
      <w:rPr>
        <w:rFonts w:ascii="Arial" w:hAnsi="Arial" w:hint="default"/>
      </w:rPr>
    </w:lvl>
    <w:lvl w:ilvl="1" w:tplc="13E81F50" w:tentative="1">
      <w:start w:val="1"/>
      <w:numFmt w:val="bullet"/>
      <w:lvlText w:val="•"/>
      <w:lvlJc w:val="left"/>
      <w:pPr>
        <w:tabs>
          <w:tab w:val="num" w:pos="1440"/>
        </w:tabs>
        <w:ind w:left="1440" w:hanging="360"/>
      </w:pPr>
      <w:rPr>
        <w:rFonts w:ascii="Arial" w:hAnsi="Arial" w:hint="default"/>
      </w:rPr>
    </w:lvl>
    <w:lvl w:ilvl="2" w:tplc="B164B59A" w:tentative="1">
      <w:start w:val="1"/>
      <w:numFmt w:val="bullet"/>
      <w:lvlText w:val="•"/>
      <w:lvlJc w:val="left"/>
      <w:pPr>
        <w:tabs>
          <w:tab w:val="num" w:pos="2160"/>
        </w:tabs>
        <w:ind w:left="2160" w:hanging="360"/>
      </w:pPr>
      <w:rPr>
        <w:rFonts w:ascii="Arial" w:hAnsi="Arial" w:hint="default"/>
      </w:rPr>
    </w:lvl>
    <w:lvl w:ilvl="3" w:tplc="8402E73A" w:tentative="1">
      <w:start w:val="1"/>
      <w:numFmt w:val="bullet"/>
      <w:lvlText w:val="•"/>
      <w:lvlJc w:val="left"/>
      <w:pPr>
        <w:tabs>
          <w:tab w:val="num" w:pos="2880"/>
        </w:tabs>
        <w:ind w:left="2880" w:hanging="360"/>
      </w:pPr>
      <w:rPr>
        <w:rFonts w:ascii="Arial" w:hAnsi="Arial" w:hint="default"/>
      </w:rPr>
    </w:lvl>
    <w:lvl w:ilvl="4" w:tplc="31FAC1E0" w:tentative="1">
      <w:start w:val="1"/>
      <w:numFmt w:val="bullet"/>
      <w:lvlText w:val="•"/>
      <w:lvlJc w:val="left"/>
      <w:pPr>
        <w:tabs>
          <w:tab w:val="num" w:pos="3600"/>
        </w:tabs>
        <w:ind w:left="3600" w:hanging="360"/>
      </w:pPr>
      <w:rPr>
        <w:rFonts w:ascii="Arial" w:hAnsi="Arial" w:hint="default"/>
      </w:rPr>
    </w:lvl>
    <w:lvl w:ilvl="5" w:tplc="604A4C7E" w:tentative="1">
      <w:start w:val="1"/>
      <w:numFmt w:val="bullet"/>
      <w:lvlText w:val="•"/>
      <w:lvlJc w:val="left"/>
      <w:pPr>
        <w:tabs>
          <w:tab w:val="num" w:pos="4320"/>
        </w:tabs>
        <w:ind w:left="4320" w:hanging="360"/>
      </w:pPr>
      <w:rPr>
        <w:rFonts w:ascii="Arial" w:hAnsi="Arial" w:hint="default"/>
      </w:rPr>
    </w:lvl>
    <w:lvl w:ilvl="6" w:tplc="FD26591A" w:tentative="1">
      <w:start w:val="1"/>
      <w:numFmt w:val="bullet"/>
      <w:lvlText w:val="•"/>
      <w:lvlJc w:val="left"/>
      <w:pPr>
        <w:tabs>
          <w:tab w:val="num" w:pos="5040"/>
        </w:tabs>
        <w:ind w:left="5040" w:hanging="360"/>
      </w:pPr>
      <w:rPr>
        <w:rFonts w:ascii="Arial" w:hAnsi="Arial" w:hint="default"/>
      </w:rPr>
    </w:lvl>
    <w:lvl w:ilvl="7" w:tplc="AEFC9D84" w:tentative="1">
      <w:start w:val="1"/>
      <w:numFmt w:val="bullet"/>
      <w:lvlText w:val="•"/>
      <w:lvlJc w:val="left"/>
      <w:pPr>
        <w:tabs>
          <w:tab w:val="num" w:pos="5760"/>
        </w:tabs>
        <w:ind w:left="5760" w:hanging="360"/>
      </w:pPr>
      <w:rPr>
        <w:rFonts w:ascii="Arial" w:hAnsi="Arial" w:hint="default"/>
      </w:rPr>
    </w:lvl>
    <w:lvl w:ilvl="8" w:tplc="52C0080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7030CA4"/>
    <w:multiLevelType w:val="hybridMultilevel"/>
    <w:tmpl w:val="5488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5F172D"/>
    <w:multiLevelType w:val="hybridMultilevel"/>
    <w:tmpl w:val="B1FCBF72"/>
    <w:lvl w:ilvl="0" w:tplc="2CD07ED0">
      <w:start w:val="1"/>
      <w:numFmt w:val="bullet"/>
      <w:lvlText w:val="•"/>
      <w:lvlJc w:val="left"/>
      <w:pPr>
        <w:tabs>
          <w:tab w:val="num" w:pos="720"/>
        </w:tabs>
        <w:ind w:left="720" w:hanging="360"/>
      </w:pPr>
      <w:rPr>
        <w:rFonts w:ascii="Arial" w:hAnsi="Arial" w:hint="default"/>
      </w:rPr>
    </w:lvl>
    <w:lvl w:ilvl="1" w:tplc="785AA2FC" w:tentative="1">
      <w:start w:val="1"/>
      <w:numFmt w:val="bullet"/>
      <w:lvlText w:val="•"/>
      <w:lvlJc w:val="left"/>
      <w:pPr>
        <w:tabs>
          <w:tab w:val="num" w:pos="1440"/>
        </w:tabs>
        <w:ind w:left="1440" w:hanging="360"/>
      </w:pPr>
      <w:rPr>
        <w:rFonts w:ascii="Arial" w:hAnsi="Arial" w:hint="default"/>
      </w:rPr>
    </w:lvl>
    <w:lvl w:ilvl="2" w:tplc="1A90616C" w:tentative="1">
      <w:start w:val="1"/>
      <w:numFmt w:val="bullet"/>
      <w:lvlText w:val="•"/>
      <w:lvlJc w:val="left"/>
      <w:pPr>
        <w:tabs>
          <w:tab w:val="num" w:pos="2160"/>
        </w:tabs>
        <w:ind w:left="2160" w:hanging="360"/>
      </w:pPr>
      <w:rPr>
        <w:rFonts w:ascii="Arial" w:hAnsi="Arial" w:hint="default"/>
      </w:rPr>
    </w:lvl>
    <w:lvl w:ilvl="3" w:tplc="F2900288" w:tentative="1">
      <w:start w:val="1"/>
      <w:numFmt w:val="bullet"/>
      <w:lvlText w:val="•"/>
      <w:lvlJc w:val="left"/>
      <w:pPr>
        <w:tabs>
          <w:tab w:val="num" w:pos="2880"/>
        </w:tabs>
        <w:ind w:left="2880" w:hanging="360"/>
      </w:pPr>
      <w:rPr>
        <w:rFonts w:ascii="Arial" w:hAnsi="Arial" w:hint="default"/>
      </w:rPr>
    </w:lvl>
    <w:lvl w:ilvl="4" w:tplc="76B09E32" w:tentative="1">
      <w:start w:val="1"/>
      <w:numFmt w:val="bullet"/>
      <w:lvlText w:val="•"/>
      <w:lvlJc w:val="left"/>
      <w:pPr>
        <w:tabs>
          <w:tab w:val="num" w:pos="3600"/>
        </w:tabs>
        <w:ind w:left="3600" w:hanging="360"/>
      </w:pPr>
      <w:rPr>
        <w:rFonts w:ascii="Arial" w:hAnsi="Arial" w:hint="default"/>
      </w:rPr>
    </w:lvl>
    <w:lvl w:ilvl="5" w:tplc="72B2B23A" w:tentative="1">
      <w:start w:val="1"/>
      <w:numFmt w:val="bullet"/>
      <w:lvlText w:val="•"/>
      <w:lvlJc w:val="left"/>
      <w:pPr>
        <w:tabs>
          <w:tab w:val="num" w:pos="4320"/>
        </w:tabs>
        <w:ind w:left="4320" w:hanging="360"/>
      </w:pPr>
      <w:rPr>
        <w:rFonts w:ascii="Arial" w:hAnsi="Arial" w:hint="default"/>
      </w:rPr>
    </w:lvl>
    <w:lvl w:ilvl="6" w:tplc="D750D700" w:tentative="1">
      <w:start w:val="1"/>
      <w:numFmt w:val="bullet"/>
      <w:lvlText w:val="•"/>
      <w:lvlJc w:val="left"/>
      <w:pPr>
        <w:tabs>
          <w:tab w:val="num" w:pos="5040"/>
        </w:tabs>
        <w:ind w:left="5040" w:hanging="360"/>
      </w:pPr>
      <w:rPr>
        <w:rFonts w:ascii="Arial" w:hAnsi="Arial" w:hint="default"/>
      </w:rPr>
    </w:lvl>
    <w:lvl w:ilvl="7" w:tplc="BE50A09A" w:tentative="1">
      <w:start w:val="1"/>
      <w:numFmt w:val="bullet"/>
      <w:lvlText w:val="•"/>
      <w:lvlJc w:val="left"/>
      <w:pPr>
        <w:tabs>
          <w:tab w:val="num" w:pos="5760"/>
        </w:tabs>
        <w:ind w:left="5760" w:hanging="360"/>
      </w:pPr>
      <w:rPr>
        <w:rFonts w:ascii="Arial" w:hAnsi="Arial" w:hint="default"/>
      </w:rPr>
    </w:lvl>
    <w:lvl w:ilvl="8" w:tplc="BE4049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9BD2947"/>
    <w:multiLevelType w:val="hybridMultilevel"/>
    <w:tmpl w:val="AA6EDAB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43238AD"/>
    <w:multiLevelType w:val="hybridMultilevel"/>
    <w:tmpl w:val="2A101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4134CA"/>
    <w:multiLevelType w:val="hybridMultilevel"/>
    <w:tmpl w:val="5CEA0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232A34"/>
    <w:multiLevelType w:val="hybridMultilevel"/>
    <w:tmpl w:val="182A6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7"/>
  </w:num>
  <w:num w:numId="5">
    <w:abstractNumId w:val="4"/>
  </w:num>
  <w:num w:numId="6">
    <w:abstractNumId w:val="5"/>
  </w:num>
  <w:num w:numId="7">
    <w:abstractNumId w:val="0"/>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029"/>
    <w:rsid w:val="00026D16"/>
    <w:rsid w:val="000343C9"/>
    <w:rsid w:val="000924B7"/>
    <w:rsid w:val="000968DE"/>
    <w:rsid w:val="00180029"/>
    <w:rsid w:val="001B7450"/>
    <w:rsid w:val="00211D67"/>
    <w:rsid w:val="002B1CD4"/>
    <w:rsid w:val="002B4099"/>
    <w:rsid w:val="002D1570"/>
    <w:rsid w:val="003343DC"/>
    <w:rsid w:val="00362531"/>
    <w:rsid w:val="00367096"/>
    <w:rsid w:val="003733BE"/>
    <w:rsid w:val="00390201"/>
    <w:rsid w:val="003E00BD"/>
    <w:rsid w:val="00447BF3"/>
    <w:rsid w:val="00507CA7"/>
    <w:rsid w:val="005155C3"/>
    <w:rsid w:val="005348E1"/>
    <w:rsid w:val="00575DDA"/>
    <w:rsid w:val="0059235A"/>
    <w:rsid w:val="005A0A9D"/>
    <w:rsid w:val="00651572"/>
    <w:rsid w:val="00653EC3"/>
    <w:rsid w:val="006B79FE"/>
    <w:rsid w:val="007A18CF"/>
    <w:rsid w:val="007A374C"/>
    <w:rsid w:val="007B2E82"/>
    <w:rsid w:val="007B40C0"/>
    <w:rsid w:val="007B6F2B"/>
    <w:rsid w:val="00846349"/>
    <w:rsid w:val="008B049B"/>
    <w:rsid w:val="008F4502"/>
    <w:rsid w:val="0095211C"/>
    <w:rsid w:val="00980128"/>
    <w:rsid w:val="00A171D3"/>
    <w:rsid w:val="00A23C65"/>
    <w:rsid w:val="00A804A0"/>
    <w:rsid w:val="00A95816"/>
    <w:rsid w:val="00B53292"/>
    <w:rsid w:val="00B55B91"/>
    <w:rsid w:val="00BA4104"/>
    <w:rsid w:val="00BB5EFF"/>
    <w:rsid w:val="00C023DF"/>
    <w:rsid w:val="00C10F62"/>
    <w:rsid w:val="00C22266"/>
    <w:rsid w:val="00C74AE5"/>
    <w:rsid w:val="00C84B49"/>
    <w:rsid w:val="00D4264F"/>
    <w:rsid w:val="00D71FA1"/>
    <w:rsid w:val="00DC648D"/>
    <w:rsid w:val="00E27ECA"/>
    <w:rsid w:val="00E36AF7"/>
    <w:rsid w:val="00F016C4"/>
    <w:rsid w:val="00F12F6B"/>
    <w:rsid w:val="00F14FB1"/>
    <w:rsid w:val="00F226E3"/>
    <w:rsid w:val="00F22E37"/>
    <w:rsid w:val="00F448B7"/>
    <w:rsid w:val="00F458A2"/>
    <w:rsid w:val="00F864DB"/>
    <w:rsid w:val="00FF6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55FD7"/>
  <w15:chartTrackingRefBased/>
  <w15:docId w15:val="{30268717-AD77-45F3-82FA-AFEAD3D9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029"/>
    <w:pPr>
      <w:ind w:left="720"/>
      <w:contextualSpacing/>
    </w:pPr>
  </w:style>
  <w:style w:type="character" w:styleId="Hyperlink">
    <w:name w:val="Hyperlink"/>
    <w:basedOn w:val="DefaultParagraphFont"/>
    <w:uiPriority w:val="99"/>
    <w:unhideWhenUsed/>
    <w:rsid w:val="000343C9"/>
    <w:rPr>
      <w:color w:val="0563C1" w:themeColor="hyperlink"/>
      <w:u w:val="single"/>
    </w:rPr>
  </w:style>
  <w:style w:type="character" w:styleId="UnresolvedMention">
    <w:name w:val="Unresolved Mention"/>
    <w:basedOn w:val="DefaultParagraphFont"/>
    <w:uiPriority w:val="99"/>
    <w:semiHidden/>
    <w:unhideWhenUsed/>
    <w:rsid w:val="000343C9"/>
    <w:rPr>
      <w:color w:val="605E5C"/>
      <w:shd w:val="clear" w:color="auto" w:fill="E1DFDD"/>
    </w:rPr>
  </w:style>
  <w:style w:type="paragraph" w:styleId="NormalWeb">
    <w:name w:val="Normal (Web)"/>
    <w:basedOn w:val="Normal"/>
    <w:uiPriority w:val="99"/>
    <w:semiHidden/>
    <w:unhideWhenUsed/>
    <w:rsid w:val="00F14FB1"/>
    <w:pPr>
      <w:spacing w:before="100" w:beforeAutospacing="1" w:after="100" w:afterAutospacing="1"/>
    </w:pPr>
    <w:rPr>
      <w:rFonts w:ascii="Times New Roman" w:eastAsia="Times New Roman" w:hAnsi="Times New Roman" w:cs="Times New Roman"/>
      <w:color w:val="auto"/>
      <w:lang w:eastAsia="en-GB"/>
    </w:rPr>
  </w:style>
  <w:style w:type="character" w:styleId="Strong">
    <w:name w:val="Strong"/>
    <w:basedOn w:val="DefaultParagraphFont"/>
    <w:uiPriority w:val="22"/>
    <w:qFormat/>
    <w:rsid w:val="00F14FB1"/>
    <w:rPr>
      <w:b/>
      <w:bCs/>
    </w:rPr>
  </w:style>
  <w:style w:type="character" w:styleId="FollowedHyperlink">
    <w:name w:val="FollowedHyperlink"/>
    <w:basedOn w:val="DefaultParagraphFont"/>
    <w:uiPriority w:val="99"/>
    <w:semiHidden/>
    <w:unhideWhenUsed/>
    <w:rsid w:val="00C84B49"/>
    <w:rPr>
      <w:color w:val="954F72" w:themeColor="followedHyperlink"/>
      <w:u w:val="single"/>
    </w:rPr>
  </w:style>
  <w:style w:type="paragraph" w:styleId="Header">
    <w:name w:val="header"/>
    <w:basedOn w:val="Normal"/>
    <w:link w:val="HeaderChar"/>
    <w:uiPriority w:val="99"/>
    <w:unhideWhenUsed/>
    <w:rsid w:val="00C84B49"/>
    <w:pPr>
      <w:tabs>
        <w:tab w:val="center" w:pos="4513"/>
        <w:tab w:val="right" w:pos="9026"/>
      </w:tabs>
    </w:pPr>
  </w:style>
  <w:style w:type="character" w:customStyle="1" w:styleId="HeaderChar">
    <w:name w:val="Header Char"/>
    <w:basedOn w:val="DefaultParagraphFont"/>
    <w:link w:val="Header"/>
    <w:uiPriority w:val="99"/>
    <w:rsid w:val="00C84B49"/>
  </w:style>
  <w:style w:type="paragraph" w:styleId="Footer">
    <w:name w:val="footer"/>
    <w:basedOn w:val="Normal"/>
    <w:link w:val="FooterChar"/>
    <w:uiPriority w:val="99"/>
    <w:unhideWhenUsed/>
    <w:rsid w:val="00C84B49"/>
    <w:pPr>
      <w:tabs>
        <w:tab w:val="center" w:pos="4513"/>
        <w:tab w:val="right" w:pos="9026"/>
      </w:tabs>
    </w:pPr>
  </w:style>
  <w:style w:type="character" w:customStyle="1" w:styleId="FooterChar">
    <w:name w:val="Footer Char"/>
    <w:basedOn w:val="DefaultParagraphFont"/>
    <w:link w:val="Footer"/>
    <w:uiPriority w:val="99"/>
    <w:rsid w:val="00C84B49"/>
  </w:style>
  <w:style w:type="paragraph" w:styleId="BalloonText">
    <w:name w:val="Balloon Text"/>
    <w:basedOn w:val="Normal"/>
    <w:link w:val="BalloonTextChar"/>
    <w:uiPriority w:val="99"/>
    <w:semiHidden/>
    <w:unhideWhenUsed/>
    <w:rsid w:val="003670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096"/>
    <w:rPr>
      <w:rFonts w:ascii="Segoe UI" w:hAnsi="Segoe UI" w:cs="Segoe UI"/>
      <w:sz w:val="18"/>
      <w:szCs w:val="18"/>
    </w:rPr>
  </w:style>
  <w:style w:type="paragraph" w:styleId="FootnoteText">
    <w:name w:val="footnote text"/>
    <w:aliases w:val="5_G"/>
    <w:basedOn w:val="Normal"/>
    <w:link w:val="FootnoteTextChar"/>
    <w:uiPriority w:val="99"/>
    <w:unhideWhenUsed/>
    <w:rsid w:val="00846349"/>
    <w:rPr>
      <w:sz w:val="20"/>
      <w:szCs w:val="20"/>
    </w:rPr>
  </w:style>
  <w:style w:type="character" w:customStyle="1" w:styleId="FootnoteTextChar">
    <w:name w:val="Footnote Text Char"/>
    <w:aliases w:val="5_G Char"/>
    <w:basedOn w:val="DefaultParagraphFont"/>
    <w:link w:val="FootnoteText"/>
    <w:uiPriority w:val="99"/>
    <w:rsid w:val="00846349"/>
    <w:rPr>
      <w:sz w:val="20"/>
      <w:szCs w:val="20"/>
    </w:rPr>
  </w:style>
  <w:style w:type="character" w:styleId="FootnoteReference">
    <w:name w:val="footnote reference"/>
    <w:aliases w:val="4_G Char Char Char Char,Footnotes refss Char Char Char Char,ftref Char Char Char Char,BVI fnr Char Char Char Char,BVI fnr Car Car Char Char Char Char,BVI fnr Car Char Char Char Char,BVI fnr Car Car Car Car Char Char1 Char Char,4_G"/>
    <w:basedOn w:val="DefaultParagraphFont"/>
    <w:link w:val="4GCharCharChar"/>
    <w:uiPriority w:val="99"/>
    <w:unhideWhenUsed/>
    <w:rsid w:val="00846349"/>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A804A0"/>
    <w:pPr>
      <w:spacing w:after="160" w:line="240" w:lineRule="exact"/>
      <w:jc w:val="both"/>
    </w:pPr>
    <w:rPr>
      <w:vertAlign w:val="superscript"/>
    </w:rPr>
  </w:style>
  <w:style w:type="paragraph" w:styleId="EndnoteText">
    <w:name w:val="endnote text"/>
    <w:basedOn w:val="Normal"/>
    <w:link w:val="EndnoteTextChar"/>
    <w:uiPriority w:val="99"/>
    <w:semiHidden/>
    <w:unhideWhenUsed/>
    <w:rsid w:val="003343DC"/>
    <w:rPr>
      <w:sz w:val="20"/>
      <w:szCs w:val="20"/>
    </w:rPr>
  </w:style>
  <w:style w:type="character" w:customStyle="1" w:styleId="EndnoteTextChar">
    <w:name w:val="Endnote Text Char"/>
    <w:basedOn w:val="DefaultParagraphFont"/>
    <w:link w:val="EndnoteText"/>
    <w:uiPriority w:val="99"/>
    <w:semiHidden/>
    <w:rsid w:val="003343DC"/>
    <w:rPr>
      <w:sz w:val="20"/>
      <w:szCs w:val="20"/>
    </w:rPr>
  </w:style>
  <w:style w:type="character" w:styleId="EndnoteReference">
    <w:name w:val="endnote reference"/>
    <w:basedOn w:val="DefaultParagraphFont"/>
    <w:uiPriority w:val="99"/>
    <w:semiHidden/>
    <w:unhideWhenUsed/>
    <w:rsid w:val="003343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09716">
      <w:bodyDiv w:val="1"/>
      <w:marLeft w:val="0"/>
      <w:marRight w:val="0"/>
      <w:marTop w:val="0"/>
      <w:marBottom w:val="0"/>
      <w:divBdr>
        <w:top w:val="none" w:sz="0" w:space="0" w:color="auto"/>
        <w:left w:val="none" w:sz="0" w:space="0" w:color="auto"/>
        <w:bottom w:val="none" w:sz="0" w:space="0" w:color="auto"/>
        <w:right w:val="none" w:sz="0" w:space="0" w:color="auto"/>
      </w:divBdr>
    </w:div>
    <w:div w:id="290091621">
      <w:bodyDiv w:val="1"/>
      <w:marLeft w:val="0"/>
      <w:marRight w:val="0"/>
      <w:marTop w:val="0"/>
      <w:marBottom w:val="0"/>
      <w:divBdr>
        <w:top w:val="none" w:sz="0" w:space="0" w:color="auto"/>
        <w:left w:val="none" w:sz="0" w:space="0" w:color="auto"/>
        <w:bottom w:val="none" w:sz="0" w:space="0" w:color="auto"/>
        <w:right w:val="none" w:sz="0" w:space="0" w:color="auto"/>
      </w:divBdr>
    </w:div>
    <w:div w:id="1218861496">
      <w:bodyDiv w:val="1"/>
      <w:marLeft w:val="0"/>
      <w:marRight w:val="0"/>
      <w:marTop w:val="0"/>
      <w:marBottom w:val="0"/>
      <w:divBdr>
        <w:top w:val="none" w:sz="0" w:space="0" w:color="auto"/>
        <w:left w:val="none" w:sz="0" w:space="0" w:color="auto"/>
        <w:bottom w:val="none" w:sz="0" w:space="0" w:color="auto"/>
        <w:right w:val="none" w:sz="0" w:space="0" w:color="auto"/>
      </w:divBdr>
    </w:div>
    <w:div w:id="1238324998">
      <w:bodyDiv w:val="1"/>
      <w:marLeft w:val="0"/>
      <w:marRight w:val="0"/>
      <w:marTop w:val="0"/>
      <w:marBottom w:val="0"/>
      <w:divBdr>
        <w:top w:val="none" w:sz="0" w:space="0" w:color="auto"/>
        <w:left w:val="none" w:sz="0" w:space="0" w:color="auto"/>
        <w:bottom w:val="none" w:sz="0" w:space="0" w:color="auto"/>
        <w:right w:val="none" w:sz="0" w:space="0" w:color="auto"/>
      </w:divBdr>
      <w:divsChild>
        <w:div w:id="144782899">
          <w:marLeft w:val="547"/>
          <w:marRight w:val="0"/>
          <w:marTop w:val="91"/>
          <w:marBottom w:val="0"/>
          <w:divBdr>
            <w:top w:val="none" w:sz="0" w:space="0" w:color="auto"/>
            <w:left w:val="none" w:sz="0" w:space="0" w:color="auto"/>
            <w:bottom w:val="none" w:sz="0" w:space="0" w:color="auto"/>
            <w:right w:val="none" w:sz="0" w:space="0" w:color="auto"/>
          </w:divBdr>
        </w:div>
      </w:divsChild>
    </w:div>
    <w:div w:id="1290015602">
      <w:bodyDiv w:val="1"/>
      <w:marLeft w:val="0"/>
      <w:marRight w:val="0"/>
      <w:marTop w:val="0"/>
      <w:marBottom w:val="0"/>
      <w:divBdr>
        <w:top w:val="none" w:sz="0" w:space="0" w:color="auto"/>
        <w:left w:val="none" w:sz="0" w:space="0" w:color="auto"/>
        <w:bottom w:val="none" w:sz="0" w:space="0" w:color="auto"/>
        <w:right w:val="none" w:sz="0" w:space="0" w:color="auto"/>
      </w:divBdr>
    </w:div>
    <w:div w:id="1454520185">
      <w:bodyDiv w:val="1"/>
      <w:marLeft w:val="0"/>
      <w:marRight w:val="0"/>
      <w:marTop w:val="0"/>
      <w:marBottom w:val="0"/>
      <w:divBdr>
        <w:top w:val="none" w:sz="0" w:space="0" w:color="auto"/>
        <w:left w:val="none" w:sz="0" w:space="0" w:color="auto"/>
        <w:bottom w:val="none" w:sz="0" w:space="0" w:color="auto"/>
        <w:right w:val="none" w:sz="0" w:space="0" w:color="auto"/>
      </w:divBdr>
    </w:div>
    <w:div w:id="1858738460">
      <w:bodyDiv w:val="1"/>
      <w:marLeft w:val="0"/>
      <w:marRight w:val="0"/>
      <w:marTop w:val="0"/>
      <w:marBottom w:val="0"/>
      <w:divBdr>
        <w:top w:val="none" w:sz="0" w:space="0" w:color="auto"/>
        <w:left w:val="none" w:sz="0" w:space="0" w:color="auto"/>
        <w:bottom w:val="none" w:sz="0" w:space="0" w:color="auto"/>
        <w:right w:val="none" w:sz="0" w:space="0" w:color="auto"/>
      </w:divBdr>
      <w:divsChild>
        <w:div w:id="1563367165">
          <w:marLeft w:val="547"/>
          <w:marRight w:val="0"/>
          <w:marTop w:val="101"/>
          <w:marBottom w:val="0"/>
          <w:divBdr>
            <w:top w:val="none" w:sz="0" w:space="0" w:color="auto"/>
            <w:left w:val="none" w:sz="0" w:space="0" w:color="auto"/>
            <w:bottom w:val="none" w:sz="0" w:space="0" w:color="auto"/>
            <w:right w:val="none" w:sz="0" w:space="0" w:color="auto"/>
          </w:divBdr>
        </w:div>
      </w:divsChild>
    </w:div>
    <w:div w:id="2028211601">
      <w:bodyDiv w:val="1"/>
      <w:marLeft w:val="0"/>
      <w:marRight w:val="0"/>
      <w:marTop w:val="0"/>
      <w:marBottom w:val="0"/>
      <w:divBdr>
        <w:top w:val="none" w:sz="0" w:space="0" w:color="auto"/>
        <w:left w:val="none" w:sz="0" w:space="0" w:color="auto"/>
        <w:bottom w:val="none" w:sz="0" w:space="0" w:color="auto"/>
        <w:right w:val="none" w:sz="0" w:space="0" w:color="auto"/>
      </w:divBdr>
    </w:div>
    <w:div w:id="2075158358">
      <w:bodyDiv w:val="1"/>
      <w:marLeft w:val="0"/>
      <w:marRight w:val="0"/>
      <w:marTop w:val="0"/>
      <w:marBottom w:val="0"/>
      <w:divBdr>
        <w:top w:val="none" w:sz="0" w:space="0" w:color="auto"/>
        <w:left w:val="none" w:sz="0" w:space="0" w:color="auto"/>
        <w:bottom w:val="none" w:sz="0" w:space="0" w:color="auto"/>
        <w:right w:val="none" w:sz="0" w:space="0" w:color="auto"/>
      </w:divBdr>
      <w:divsChild>
        <w:div w:id="2039309229">
          <w:marLeft w:val="0"/>
          <w:marRight w:val="0"/>
          <w:marTop w:val="0"/>
          <w:marBottom w:val="120"/>
          <w:divBdr>
            <w:top w:val="none" w:sz="0" w:space="0" w:color="auto"/>
            <w:left w:val="none" w:sz="0" w:space="0" w:color="auto"/>
            <w:bottom w:val="none" w:sz="0" w:space="0" w:color="auto"/>
            <w:right w:val="none" w:sz="0" w:space="0" w:color="auto"/>
          </w:divBdr>
        </w:div>
        <w:div w:id="34467018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cfois.scot"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hudoc.echr.coe.int/eng?i=001-167828" TargetMode="External"/><Relationship Id="rId3" Type="http://schemas.openxmlformats.org/officeDocument/2006/relationships/hyperlink" Target="http://www.itspublicknowledge.info/home/AboutSIC/WhatWeDo/Intervention201702016ScottishGovernment.aspx" TargetMode="External"/><Relationship Id="rId7" Type="http://schemas.openxmlformats.org/officeDocument/2006/relationships/hyperlink" Target="https://www.parliament.scot/parliamentarybusiness/Bills/114929.aspx" TargetMode="External"/><Relationship Id="rId12" Type="http://schemas.openxmlformats.org/officeDocument/2006/relationships/hyperlink" Target="https://www.cfois.scot/wp-content/uploads/2020/01/CFoIS-ICCPR-Final-Jan-2020.pdf" TargetMode="External"/><Relationship Id="rId2" Type="http://schemas.openxmlformats.org/officeDocument/2006/relationships/hyperlink" Target="http://www.itspublicknowledge.info/home/SICReports/OtherReports/PublicAwarenessResearch2017.aspx" TargetMode="External"/><Relationship Id="rId1" Type="http://schemas.openxmlformats.org/officeDocument/2006/relationships/hyperlink" Target="https://www.parliament.scot/S5_Bills/Coronavirus%20(Scotland)%20Bill/SPBill66S052020.pdf" TargetMode="External"/><Relationship Id="rId6" Type="http://schemas.openxmlformats.org/officeDocument/2006/relationships/hyperlink" Target="https://www.rti-rating.org/country-data/by-indicator/22/" TargetMode="External"/><Relationship Id="rId11" Type="http://schemas.openxmlformats.org/officeDocument/2006/relationships/hyperlink" Target="https://tbinternet.ohchr.org/_layouts/15/treatybodyexternal/Download.aspx?symbolno=CCPR%2fC%2fGC%2f34&amp;Lang=en" TargetMode="External"/><Relationship Id="rId5" Type="http://schemas.openxmlformats.org/officeDocument/2006/relationships/hyperlink" Target="http://www.gov.scot/About/Information/FOI/6principles" TargetMode="External"/><Relationship Id="rId10" Type="http://schemas.openxmlformats.org/officeDocument/2006/relationships/hyperlink" Target="https://www.ohchr.org/en/professionalinterest/pages/ccpr.aspx" TargetMode="External"/><Relationship Id="rId4" Type="http://schemas.openxmlformats.org/officeDocument/2006/relationships/hyperlink" Target="http://www.itspublicknowledge.info/home/SICReports/AnnualReports.aspx" TargetMode="External"/><Relationship Id="rId9" Type="http://schemas.openxmlformats.org/officeDocument/2006/relationships/hyperlink" Target="http://hudoc.echr.coe.int/eng?i=001-2004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E2E36-7C3C-4301-AC30-4312D0BD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pcworld</dc:creator>
  <cp:keywords/>
  <dc:description/>
  <cp:lastModifiedBy>pcworld</cp:lastModifiedBy>
  <cp:revision>2</cp:revision>
  <dcterms:created xsi:type="dcterms:W3CDTF">2020-03-31T22:47:00Z</dcterms:created>
  <dcterms:modified xsi:type="dcterms:W3CDTF">2020-03-31T22:47:00Z</dcterms:modified>
</cp:coreProperties>
</file>